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E3348FE"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805D71">
        <w:t>6</w:t>
      </w:r>
      <w:r w:rsidR="00F4681E">
        <w:t>bis</w:t>
      </w:r>
      <w:r w:rsidRPr="00CE0424">
        <w:tab/>
      </w:r>
      <w:proofErr w:type="spellStart"/>
      <w:r w:rsidRPr="00B05B1D">
        <w:rPr>
          <w:sz w:val="32"/>
          <w:szCs w:val="32"/>
        </w:rPr>
        <w:t>Tdoc</w:t>
      </w:r>
      <w:proofErr w:type="spellEnd"/>
      <w:r w:rsidRPr="00B05B1D">
        <w:rPr>
          <w:sz w:val="32"/>
          <w:szCs w:val="32"/>
        </w:rPr>
        <w:t xml:space="preserve"> </w:t>
      </w:r>
      <w:r w:rsidR="00091557" w:rsidRPr="00B05B1D">
        <w:rPr>
          <w:sz w:val="32"/>
          <w:szCs w:val="32"/>
        </w:rPr>
        <w:t>R</w:t>
      </w:r>
      <w:r w:rsidR="008F1C4E" w:rsidRPr="00B05B1D">
        <w:rPr>
          <w:sz w:val="32"/>
          <w:szCs w:val="32"/>
        </w:rPr>
        <w:t>1</w:t>
      </w:r>
      <w:r w:rsidR="00091557" w:rsidRPr="00B05B1D">
        <w:rPr>
          <w:sz w:val="32"/>
          <w:szCs w:val="32"/>
        </w:rPr>
        <w:t>-</w:t>
      </w:r>
      <w:r w:rsidR="005F3025" w:rsidRPr="00B05B1D">
        <w:rPr>
          <w:sz w:val="32"/>
          <w:szCs w:val="32"/>
        </w:rPr>
        <w:t>1</w:t>
      </w:r>
      <w:r w:rsidR="00805D71">
        <w:rPr>
          <w:sz w:val="32"/>
          <w:szCs w:val="32"/>
        </w:rPr>
        <w:t>9</w:t>
      </w:r>
      <w:r w:rsidR="00E85CFB">
        <w:rPr>
          <w:sz w:val="32"/>
          <w:szCs w:val="32"/>
        </w:rPr>
        <w:t>0</w:t>
      </w:r>
      <w:r w:rsidR="00652183">
        <w:rPr>
          <w:sz w:val="32"/>
          <w:szCs w:val="32"/>
        </w:rPr>
        <w:t>5100</w:t>
      </w:r>
    </w:p>
    <w:p w14:paraId="6C755B1E" w14:textId="07843534" w:rsidR="00951076" w:rsidRPr="00652912" w:rsidRDefault="00951076" w:rsidP="00951076">
      <w:pPr>
        <w:pStyle w:val="3GPPHeader"/>
        <w:spacing w:after="60"/>
      </w:pPr>
      <w:r w:rsidRPr="00652912">
        <w:t>Xi’an, China, 8th – 12th April 2019</w:t>
      </w:r>
    </w:p>
    <w:p w14:paraId="60A5317D" w14:textId="77777777" w:rsidR="00E90E49" w:rsidRPr="00CE0424" w:rsidRDefault="00E90E49" w:rsidP="00357380">
      <w:pPr>
        <w:pStyle w:val="3GPPHeader"/>
      </w:pPr>
    </w:p>
    <w:p w14:paraId="3C6869D1" w14:textId="000EE640" w:rsidR="00E90E49" w:rsidRPr="00B05B1D" w:rsidRDefault="00E90E49" w:rsidP="00311702">
      <w:pPr>
        <w:pStyle w:val="3GPPHeader"/>
        <w:rPr>
          <w:sz w:val="22"/>
        </w:rPr>
      </w:pPr>
      <w:r w:rsidRPr="00B05B1D">
        <w:rPr>
          <w:sz w:val="22"/>
        </w:rPr>
        <w:t>Agenda Item:</w:t>
      </w:r>
      <w:r w:rsidRPr="00B05B1D">
        <w:rPr>
          <w:sz w:val="22"/>
        </w:rPr>
        <w:tab/>
      </w:r>
      <w:r w:rsidR="00652183" w:rsidRPr="00951076">
        <w:rPr>
          <w:sz w:val="22"/>
        </w:rPr>
        <w:t>7.2.5.5</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3C729512" w:rsidR="00E90E49" w:rsidRPr="00CE0424" w:rsidRDefault="003D3C45" w:rsidP="00311702">
      <w:pPr>
        <w:pStyle w:val="3GPPHeader"/>
        <w:rPr>
          <w:sz w:val="22"/>
        </w:rPr>
      </w:pPr>
      <w:r>
        <w:rPr>
          <w:sz w:val="22"/>
        </w:rPr>
        <w:t>Title:</w:t>
      </w:r>
      <w:r w:rsidR="00E90E49" w:rsidRPr="00CE0424">
        <w:rPr>
          <w:sz w:val="22"/>
        </w:rPr>
        <w:tab/>
      </w:r>
      <w:r w:rsidR="007E1C66">
        <w:rPr>
          <w:sz w:val="22"/>
        </w:rPr>
        <w:t>NTN Overview</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AC1BBE3" w14:textId="7A535B13" w:rsidR="00A2268A" w:rsidRPr="001E3FB6" w:rsidRDefault="00A2268A" w:rsidP="000E5128">
      <w:pPr>
        <w:jc w:val="both"/>
        <w:rPr>
          <w:rFonts w:ascii="Arial" w:hAnsi="Arial"/>
          <w:sz w:val="20"/>
          <w:szCs w:val="20"/>
        </w:rPr>
      </w:pPr>
      <w:r w:rsidRPr="00DB3592">
        <w:rPr>
          <w:rFonts w:ascii="Arial" w:hAnsi="Arial"/>
          <w:sz w:val="20"/>
          <w:szCs w:val="20"/>
        </w:rPr>
        <w:t>RAN#80 approved a new SI on solutions evaluation for NR to support Non-Terrestrial Network</w:t>
      </w:r>
      <w:r w:rsidR="00E85654">
        <w:rPr>
          <w:rFonts w:ascii="Arial" w:hAnsi="Arial"/>
          <w:sz w:val="20"/>
          <w:szCs w:val="20"/>
        </w:rPr>
        <w:t>. The latest version of the SID is given in</w:t>
      </w:r>
      <w:r w:rsidR="00B45E11" w:rsidRPr="00DB3592">
        <w:rPr>
          <w:rFonts w:ascii="Arial" w:hAnsi="Arial"/>
          <w:sz w:val="20"/>
          <w:szCs w:val="20"/>
        </w:rPr>
        <w:t xml:space="preserve"> [1]</w:t>
      </w:r>
      <w:r w:rsidR="002B626A" w:rsidRPr="00DB3592">
        <w:rPr>
          <w:rFonts w:ascii="Arial" w:hAnsi="Arial"/>
          <w:sz w:val="20"/>
          <w:szCs w:val="20"/>
        </w:rPr>
        <w:t>.</w:t>
      </w:r>
      <w:r w:rsidRPr="00DB3592">
        <w:rPr>
          <w:rFonts w:ascii="Arial" w:hAnsi="Arial"/>
          <w:sz w:val="20"/>
          <w:szCs w:val="20"/>
        </w:rPr>
        <w:t xml:space="preserve"> The SI has the following</w:t>
      </w:r>
      <w:r w:rsidR="003C20D7">
        <w:rPr>
          <w:rFonts w:ascii="Arial" w:hAnsi="Arial"/>
          <w:sz w:val="20"/>
          <w:szCs w:val="20"/>
        </w:rPr>
        <w:t xml:space="preserve"> RAN1</w:t>
      </w:r>
      <w:r w:rsidRPr="00DB3592">
        <w:rPr>
          <w:rFonts w:ascii="Arial" w:hAnsi="Arial"/>
          <w:sz w:val="20"/>
          <w:szCs w:val="20"/>
        </w:rPr>
        <w:t xml:space="preserve"> objectives</w:t>
      </w:r>
      <w:r w:rsidR="00B45E11" w:rsidRPr="00DB3592">
        <w:rPr>
          <w:rFonts w:ascii="Arial" w:hAnsi="Arial"/>
          <w:sz w:val="20"/>
          <w:szCs w:val="20"/>
        </w:rPr>
        <w:t>. The RAN1 work is scheduled to begin at RAN1#96bis in April 2019.</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57526C31">
                <wp:extent cx="6120765" cy="2600077"/>
                <wp:effectExtent l="0" t="0" r="13335" b="10160"/>
                <wp:docPr id="2" name="Text Box 2"/>
                <wp:cNvGraphicFramePr/>
                <a:graphic xmlns:a="http://schemas.openxmlformats.org/drawingml/2006/main">
                  <a:graphicData uri="http://schemas.microsoft.com/office/word/2010/wordprocessingShape">
                    <wps:wsp>
                      <wps:cNvSpPr txBox="1"/>
                      <wps:spPr>
                        <a:xfrm>
                          <a:off x="0" y="0"/>
                          <a:ext cx="6120765" cy="2600077"/>
                        </a:xfrm>
                        <a:prstGeom prst="rect">
                          <a:avLst/>
                        </a:prstGeom>
                        <a:solidFill>
                          <a:schemeClr val="lt1"/>
                        </a:solidFill>
                        <a:ln w="6350">
                          <a:solidFill>
                            <a:prstClr val="black"/>
                          </a:solidFill>
                        </a:ln>
                      </wps:spPr>
                      <wps:txbx>
                        <w:txbxContent>
                          <w:p w14:paraId="160186E5" w14:textId="77777777" w:rsidR="00A2268A" w:rsidRPr="00DB3592" w:rsidRDefault="00A2268A" w:rsidP="00A2268A">
                            <w:pPr>
                              <w:rPr>
                                <w:rFonts w:ascii="Arial" w:hAnsi="Arial"/>
                                <w:i/>
                                <w:sz w:val="20"/>
                                <w:szCs w:val="20"/>
                                <w:lang w:eastAsia="x-none"/>
                              </w:rPr>
                            </w:pPr>
                            <w:r w:rsidRPr="00DB3592">
                              <w:rPr>
                                <w:rFonts w:ascii="Arial" w:hAnsi="Arial"/>
                                <w:b/>
                                <w:bCs/>
                                <w:i/>
                                <w:iCs/>
                                <w:sz w:val="20"/>
                                <w:szCs w:val="20"/>
                                <w:lang w:eastAsia="x-none"/>
                              </w:rPr>
                              <w:t>Physical layer</w:t>
                            </w:r>
                          </w:p>
                          <w:p w14:paraId="53A0B01F" w14:textId="77777777" w:rsidR="00A2268A" w:rsidRPr="00DB3592"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Physical layer control procedures (e.g. CSI feedback, power control)</w:t>
                            </w:r>
                          </w:p>
                          <w:p w14:paraId="25967C27"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Uplink Timing advance/RACH procedure including PRACH sequence/format/message</w:t>
                            </w:r>
                          </w:p>
                          <w:p w14:paraId="54708D01" w14:textId="40DCE814" w:rsidR="00A2268A"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DB3592" w:rsidRDefault="00A2268A" w:rsidP="00A2268A">
                            <w:pPr>
                              <w:rPr>
                                <w:rFonts w:ascii="Arial" w:hAnsi="Arial"/>
                                <w:i/>
                                <w:sz w:val="20"/>
                                <w:szCs w:val="20"/>
                                <w:lang w:eastAsia="x-none"/>
                              </w:rPr>
                            </w:pPr>
                            <w:r w:rsidRPr="00DB3592">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DB3592"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" fillcolor="white [3201]" strokeweight=".5pt">
                <v:textbox>
                  <w:txbxContent>
                    <w:p w14:paraId="160186E5" w14:textId="77777777" w:rsidR="00A2268A" w:rsidRPr="00DB3592" w:rsidRDefault="00A2268A" w:rsidP="00A2268A">
                      <w:pPr>
                        <w:rPr>
                          <w:rFonts w:ascii="Arial" w:hAnsi="Arial"/>
                          <w:i/>
                          <w:sz w:val="20"/>
                          <w:szCs w:val="20"/>
                          <w:lang w:eastAsia="x-none"/>
                        </w:rPr>
                      </w:pPr>
                      <w:r w:rsidRPr="00DB3592">
                        <w:rPr>
                          <w:rFonts w:ascii="Arial" w:hAnsi="Arial"/>
                          <w:b/>
                          <w:bCs/>
                          <w:i/>
                          <w:iCs/>
                          <w:sz w:val="20"/>
                          <w:szCs w:val="20"/>
                          <w:lang w:eastAsia="x-none"/>
                        </w:rPr>
                        <w:t>Physical layer</w:t>
                      </w:r>
                    </w:p>
                    <w:p w14:paraId="53A0B01F" w14:textId="77777777" w:rsidR="00A2268A" w:rsidRPr="00DB3592"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Physical layer control procedures (e.g. CSI feedback, power control)</w:t>
                      </w:r>
                    </w:p>
                    <w:p w14:paraId="25967C27"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Uplink Timing advance/RACH procedure including PRACH sequence/format/message</w:t>
                      </w:r>
                    </w:p>
                    <w:p w14:paraId="54708D01" w14:textId="40DCE814" w:rsidR="00A2268A"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DB3592" w:rsidRDefault="00A2268A" w:rsidP="00A2268A">
                      <w:pPr>
                        <w:rPr>
                          <w:rFonts w:ascii="Arial" w:hAnsi="Arial"/>
                          <w:i/>
                          <w:sz w:val="20"/>
                          <w:szCs w:val="20"/>
                          <w:lang w:eastAsia="x-none"/>
                        </w:rPr>
                      </w:pPr>
                      <w:r w:rsidRPr="00DB3592">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DB3592" w:rsidRDefault="00A2268A" w:rsidP="00A2268A">
                      <w:pPr>
                        <w:rPr>
                          <w:sz w:val="20"/>
                          <w:szCs w:val="20"/>
                        </w:rPr>
                      </w:pPr>
                    </w:p>
                  </w:txbxContent>
                </v:textbox>
                <w10:anchorlock/>
              </v:shape>
            </w:pict>
          </mc:Fallback>
        </mc:AlternateContent>
      </w:r>
    </w:p>
    <w:p w14:paraId="644AC52F" w14:textId="201BD04F" w:rsidR="00A2268A" w:rsidRPr="00DB3592" w:rsidRDefault="00A2268A" w:rsidP="000E5128">
      <w:pPr>
        <w:jc w:val="both"/>
        <w:rPr>
          <w:rFonts w:ascii="Arial" w:hAnsi="Arial"/>
          <w:sz w:val="20"/>
          <w:szCs w:val="20"/>
        </w:rPr>
      </w:pPr>
      <w:r w:rsidRPr="00DB3592">
        <w:rPr>
          <w:rFonts w:ascii="Arial" w:hAnsi="Arial"/>
          <w:sz w:val="20"/>
          <w:szCs w:val="20"/>
        </w:rPr>
        <w:t>In this contribution, we provide an overview of the key considerations for adapting NR for NTN.</w:t>
      </w:r>
    </w:p>
    <w:p w14:paraId="020415C4" w14:textId="50F62E60" w:rsidR="004000E8" w:rsidRDefault="00230D18" w:rsidP="00CE0424">
      <w:pPr>
        <w:pStyle w:val="Heading1"/>
      </w:pPr>
      <w:bookmarkStart w:id="1" w:name="_Ref178064866"/>
      <w:r>
        <w:t>2</w:t>
      </w:r>
      <w:r>
        <w:tab/>
      </w:r>
      <w:r w:rsidR="004000E8" w:rsidRPr="00CE0424">
        <w:t>Discussion</w:t>
      </w:r>
      <w:bookmarkEnd w:id="1"/>
    </w:p>
    <w:p w14:paraId="1DA7756A" w14:textId="18564475" w:rsidR="00B45E11" w:rsidRPr="00B45E11" w:rsidRDefault="00B45E11" w:rsidP="00B45E11">
      <w:pPr>
        <w:pStyle w:val="Heading2"/>
        <w:rPr>
          <w:rStyle w:val="IvDbodytextChar"/>
          <w:spacing w:val="0"/>
          <w:lang w:val="en-GB" w:eastAsia="ja-JP"/>
        </w:rPr>
      </w:pPr>
      <w:r>
        <w:t>2.1</w:t>
      </w:r>
      <w:r>
        <w:tab/>
        <w:t>Overview</w:t>
      </w:r>
    </w:p>
    <w:p w14:paraId="7E376358" w14:textId="1F303F45" w:rsidR="00B45E11" w:rsidRPr="00DB3592" w:rsidRDefault="00B45E11" w:rsidP="00B45E11">
      <w:pPr>
        <w:pStyle w:val="BodyText"/>
        <w:rPr>
          <w:rStyle w:val="IvDbodytextChar"/>
          <w:rFonts w:eastAsia="SimSun"/>
          <w:sz w:val="20"/>
          <w:szCs w:val="20"/>
        </w:rPr>
      </w:pPr>
      <w:r w:rsidRPr="00DB3592">
        <w:rPr>
          <w:rStyle w:val="IvDbodytextChar"/>
          <w:rFonts w:eastAsia="SimSun"/>
          <w:sz w:val="20"/>
          <w:szCs w:val="20"/>
        </w:rPr>
        <w:t>There is an ongoing resurgence of satellite communications. Several plans for satellite networks have been announced in the past few ye</w:t>
      </w:r>
      <w:r w:rsidR="001E3FB6">
        <w:rPr>
          <w:rStyle w:val="IvDbodytextChar"/>
          <w:rFonts w:eastAsia="SimSun"/>
          <w:sz w:val="20"/>
          <w:szCs w:val="20"/>
        </w:rPr>
        <w:t>ars. The target services vary, including for example backhaul and fixed wireless, transportation, outdoor mobile, and</w:t>
      </w:r>
      <w:r w:rsidRPr="00DB3592">
        <w:rPr>
          <w:rStyle w:val="IvDbodytextChar"/>
          <w:rFonts w:eastAsia="SimSun"/>
          <w:sz w:val="20"/>
          <w:szCs w:val="20"/>
        </w:rPr>
        <w:t xml:space="preserve"> IoT. </w:t>
      </w:r>
      <w:r w:rsidRPr="00DB3592">
        <w:rPr>
          <w:sz w:val="20"/>
          <w:szCs w:val="20"/>
        </w:rPr>
        <w:t xml:space="preserve">Satellite networks could complement mobile networks on the ground by providing connectivity to underserved areas and multicast/broadcast services. </w:t>
      </w:r>
    </w:p>
    <w:p w14:paraId="2DEB224D" w14:textId="5B24D856" w:rsidR="00B45E11" w:rsidRPr="00DB3592" w:rsidRDefault="00B45E11" w:rsidP="00B45E11">
      <w:pPr>
        <w:pStyle w:val="BodyText"/>
        <w:rPr>
          <w:rStyle w:val="IvDbodytextChar"/>
          <w:rFonts w:eastAsia="SimSun"/>
          <w:sz w:val="20"/>
          <w:szCs w:val="20"/>
        </w:rPr>
      </w:pPr>
      <w:r w:rsidRPr="00DB3592">
        <w:rPr>
          <w:rStyle w:val="IvDbodytextChar"/>
          <w:rFonts w:eastAsia="SimSun"/>
          <w:sz w:val="20"/>
          <w:szCs w:val="20"/>
        </w:rPr>
        <w:t>To benefit from the strong mobile ecosystem and economy of scale, adapting the terrestrial wireless access technologies including LTE and NR for satellite networks is drawing significant interest. For example, 3GPP completed an initial study in Release 15 on adapting NR to support non-terrestrial networks (mainly satellite networks) [2]. This initial study focused on the channel model</w:t>
      </w:r>
      <w:r w:rsidR="00C9449D" w:rsidRPr="00DB3592">
        <w:rPr>
          <w:rStyle w:val="IvDbodytextChar"/>
          <w:rFonts w:eastAsia="SimSun"/>
          <w:sz w:val="20"/>
          <w:szCs w:val="20"/>
        </w:rPr>
        <w:t>s</w:t>
      </w:r>
      <w:r w:rsidRPr="00DB3592">
        <w:rPr>
          <w:rStyle w:val="IvDbodytextChar"/>
          <w:rFonts w:eastAsia="SimSun"/>
          <w:sz w:val="20"/>
          <w:szCs w:val="20"/>
        </w:rPr>
        <w:t xml:space="preserve"> for the non-terrestrial networks, defining deployment scenarios, and identifying the key potential impacts. 3GPP is conducting a follow-up study item in Release 16 on solutions evaluation for NR to support non-terrestrial networks. </w:t>
      </w:r>
    </w:p>
    <w:p w14:paraId="308FBD37" w14:textId="77777777" w:rsidR="00B45E11" w:rsidRPr="00DB3592" w:rsidRDefault="00B45E11" w:rsidP="00B45E11">
      <w:pPr>
        <w:pStyle w:val="BodyText"/>
        <w:rPr>
          <w:sz w:val="20"/>
          <w:szCs w:val="20"/>
        </w:rPr>
      </w:pPr>
      <w:r w:rsidRPr="00DB3592">
        <w:rPr>
          <w:sz w:val="20"/>
          <w:szCs w:val="20"/>
        </w:rPr>
        <w:lastRenderedPageBreak/>
        <w:t xml:space="preserve">A satellite radio access network usually includes the following components: </w:t>
      </w:r>
    </w:p>
    <w:p w14:paraId="155AA746"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Gateway that connects satellite network to core network </w:t>
      </w:r>
    </w:p>
    <w:p w14:paraId="51CFD60F"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Satellite that refers to a space-borne platform </w:t>
      </w:r>
    </w:p>
    <w:p w14:paraId="2D53EF0B"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Terminal that refers to user equipment</w:t>
      </w:r>
    </w:p>
    <w:p w14:paraId="08063A90"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Feeder link that refers to the link between a gateway and a satellite</w:t>
      </w:r>
    </w:p>
    <w:p w14:paraId="72015750"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Service link that refers to the link between a satellite and a terminal </w:t>
      </w:r>
    </w:p>
    <w:p w14:paraId="544C5555" w14:textId="77777777" w:rsidR="00B45E11" w:rsidRPr="00DB3592" w:rsidRDefault="00B45E11" w:rsidP="00B45E11">
      <w:pPr>
        <w:pStyle w:val="BodyText"/>
        <w:rPr>
          <w:sz w:val="20"/>
          <w:szCs w:val="20"/>
        </w:rPr>
      </w:pPr>
    </w:p>
    <w:p w14:paraId="387F9053" w14:textId="0FD49F40" w:rsidR="00B45E11" w:rsidRPr="00DB3592" w:rsidRDefault="00B45E11" w:rsidP="00B45E11">
      <w:pPr>
        <w:pStyle w:val="BodyText"/>
        <w:rPr>
          <w:sz w:val="20"/>
          <w:szCs w:val="20"/>
        </w:rPr>
      </w:pPr>
      <w:r w:rsidRPr="00DB3592">
        <w:rPr>
          <w:sz w:val="20"/>
          <w:szCs w:val="20"/>
        </w:rPr>
        <w:t xml:space="preserve">The link from gateway to terminal is often called forward link, and the link from terminal to gateway is often called return link. Depending on the functionality of the satellite in the system, we can consider two transponder options </w:t>
      </w:r>
    </w:p>
    <w:p w14:paraId="10D08829" w14:textId="77777777" w:rsidR="00B45E11" w:rsidRPr="00DB3592" w:rsidRDefault="00B45E11" w:rsidP="00B45E11">
      <w:pPr>
        <w:pStyle w:val="BodyText"/>
        <w:keepLines/>
        <w:numPr>
          <w:ilvl w:val="0"/>
          <w:numId w:val="41"/>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Bent pipe transponder: satellite forwards the received signal back to the earth with only amplification and a shift from uplink frequency to downlink frequency. </w:t>
      </w:r>
    </w:p>
    <w:p w14:paraId="396F9117" w14:textId="2477825E" w:rsidR="00B45E11" w:rsidRPr="00DB3592" w:rsidRDefault="00B45E11" w:rsidP="00B45E11">
      <w:pPr>
        <w:pStyle w:val="BodyText"/>
        <w:keepLines/>
        <w:numPr>
          <w:ilvl w:val="0"/>
          <w:numId w:val="41"/>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Regenerative transponder: satellite includes on-board processing to demodulate and decode the received signal and regenerate the signal before sending it back to the earth. </w:t>
      </w:r>
    </w:p>
    <w:p w14:paraId="095D2962" w14:textId="77777777" w:rsidR="0007155D" w:rsidRDefault="00B45E11" w:rsidP="0007155D">
      <w:pPr>
        <w:pStyle w:val="BodyText"/>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 xml:space="preserve">Depending on the orbit altitude, a satellite may be categorized as </w:t>
      </w:r>
      <w:r w:rsidR="00C9449D" w:rsidRPr="00DB3592">
        <w:rPr>
          <w:sz w:val="20"/>
          <w:szCs w:val="20"/>
        </w:rPr>
        <w:t>a low-earth orbit (</w:t>
      </w:r>
      <w:r w:rsidRPr="00DB3592">
        <w:rPr>
          <w:sz w:val="20"/>
          <w:szCs w:val="20"/>
        </w:rPr>
        <w:t>LEO</w:t>
      </w:r>
      <w:r w:rsidR="00C9449D" w:rsidRPr="00DB3592">
        <w:rPr>
          <w:sz w:val="20"/>
          <w:szCs w:val="20"/>
        </w:rPr>
        <w:t>)</w:t>
      </w:r>
      <w:r w:rsidRPr="00DB3592">
        <w:rPr>
          <w:sz w:val="20"/>
          <w:szCs w:val="20"/>
        </w:rPr>
        <w:t xml:space="preserve">, </w:t>
      </w:r>
      <w:r w:rsidR="00C9449D" w:rsidRPr="00DB3592">
        <w:rPr>
          <w:sz w:val="20"/>
          <w:szCs w:val="20"/>
        </w:rPr>
        <w:t>medium-earth orbit (</w:t>
      </w:r>
      <w:r w:rsidRPr="00DB3592">
        <w:rPr>
          <w:sz w:val="20"/>
          <w:szCs w:val="20"/>
        </w:rPr>
        <w:t>MEO</w:t>
      </w:r>
      <w:r w:rsidR="00C9449D" w:rsidRPr="00DB3592">
        <w:rPr>
          <w:sz w:val="20"/>
          <w:szCs w:val="20"/>
        </w:rPr>
        <w:t>)</w:t>
      </w:r>
      <w:r w:rsidRPr="00DB3592">
        <w:rPr>
          <w:sz w:val="20"/>
          <w:szCs w:val="20"/>
        </w:rPr>
        <w:t xml:space="preserve">, or </w:t>
      </w:r>
      <w:r w:rsidR="00C9449D" w:rsidRPr="00DB3592">
        <w:rPr>
          <w:sz w:val="20"/>
          <w:szCs w:val="20"/>
        </w:rPr>
        <w:t>geostationary (</w:t>
      </w:r>
      <w:r w:rsidRPr="00DB3592">
        <w:rPr>
          <w:sz w:val="20"/>
          <w:szCs w:val="20"/>
        </w:rPr>
        <w:t>GEO</w:t>
      </w:r>
      <w:r w:rsidR="00C9449D" w:rsidRPr="00DB3592">
        <w:rPr>
          <w:sz w:val="20"/>
          <w:szCs w:val="20"/>
        </w:rPr>
        <w:t>)</w:t>
      </w:r>
      <w:r w:rsidR="00B17803">
        <w:rPr>
          <w:sz w:val="20"/>
          <w:szCs w:val="20"/>
        </w:rPr>
        <w:t xml:space="preserve"> satellite: (1) </w:t>
      </w:r>
      <w:r w:rsidRPr="00DB3592">
        <w:rPr>
          <w:sz w:val="20"/>
          <w:szCs w:val="20"/>
        </w:rPr>
        <w:t xml:space="preserve">LEO: </w:t>
      </w:r>
      <w:r w:rsidR="001E3FB6">
        <w:rPr>
          <w:sz w:val="20"/>
          <w:szCs w:val="20"/>
        </w:rPr>
        <w:t>typical heights ranging from 160 to 2,000 km</w:t>
      </w:r>
      <w:r w:rsidR="00B17803">
        <w:rPr>
          <w:sz w:val="20"/>
          <w:szCs w:val="20"/>
        </w:rPr>
        <w:t xml:space="preserve">; (2) </w:t>
      </w:r>
      <w:r w:rsidRPr="00DB3592">
        <w:rPr>
          <w:sz w:val="20"/>
          <w:szCs w:val="20"/>
        </w:rPr>
        <w:t>MEO</w:t>
      </w:r>
      <w:r w:rsidR="001E3FB6">
        <w:rPr>
          <w:sz w:val="20"/>
          <w:szCs w:val="20"/>
        </w:rPr>
        <w:t>: typical heights ranging from 2,000 to less than 35,786 km</w:t>
      </w:r>
      <w:r w:rsidR="00B17803">
        <w:rPr>
          <w:sz w:val="20"/>
          <w:szCs w:val="20"/>
        </w:rPr>
        <w:t xml:space="preserve">; and (3) </w:t>
      </w:r>
      <w:r w:rsidR="001E3FB6">
        <w:rPr>
          <w:sz w:val="20"/>
          <w:szCs w:val="20"/>
        </w:rPr>
        <w:t>GEO: height at 35,786 km</w:t>
      </w:r>
      <w:r w:rsidRPr="00DB3592">
        <w:rPr>
          <w:sz w:val="20"/>
          <w:szCs w:val="20"/>
        </w:rPr>
        <w:t>.</w:t>
      </w:r>
    </w:p>
    <w:p w14:paraId="7A773D04" w14:textId="77777777" w:rsidR="0007155D" w:rsidRDefault="00B45E11" w:rsidP="0007155D">
      <w:pPr>
        <w:pStyle w:val="BodyText"/>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A satellite typically generates several beams over a given area. The footprint of a beam is usually in an elliptic shape, which has been traditionally considered as a cell. The footprint of a beam is also often referred to a spotbeam. The footprint of a spotbeam may move over the earth surface with the satellite movement or may be earth fixed with some beam pointing mechanism used by the satellite to compensate for its motion. The size of a spotbeam depends on the system design, which may range from tens of kilometers to</w:t>
      </w:r>
      <w:r w:rsidR="0007155D">
        <w:rPr>
          <w:sz w:val="20"/>
          <w:szCs w:val="20"/>
        </w:rPr>
        <w:t xml:space="preserve"> a few thousands of kilometers.</w:t>
      </w:r>
    </w:p>
    <w:p w14:paraId="7EFF6D9D" w14:textId="2476BE82" w:rsidR="00B45E11" w:rsidRPr="00DB3592" w:rsidRDefault="00B45E11" w:rsidP="0007155D">
      <w:pPr>
        <w:pStyle w:val="BodyText"/>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Figure 1 shows an example architecture of a satellite network with bent pipe transponders.</w:t>
      </w:r>
    </w:p>
    <w:p w14:paraId="281D2928" w14:textId="59532BCD" w:rsidR="00B45E11" w:rsidRPr="00495E3F" w:rsidRDefault="00D67D33" w:rsidP="00AC7032">
      <w:pPr>
        <w:pStyle w:val="BodyText"/>
        <w:jc w:val="center"/>
      </w:pPr>
      <w:r>
        <w:rPr>
          <w:noProof/>
        </w:rPr>
        <w:drawing>
          <wp:inline distT="0" distB="0" distL="0" distR="0" wp14:anchorId="66C433DB" wp14:editId="7E9E19D6">
            <wp:extent cx="4039738" cy="182226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7278" cy="1830174"/>
                    </a:xfrm>
                    <a:prstGeom prst="rect">
                      <a:avLst/>
                    </a:prstGeom>
                  </pic:spPr>
                </pic:pic>
              </a:graphicData>
            </a:graphic>
          </wp:inline>
        </w:drawing>
      </w:r>
    </w:p>
    <w:p w14:paraId="01C0A699" w14:textId="513D924D" w:rsidR="00B45E11" w:rsidRPr="00DB3592" w:rsidRDefault="00B45E11" w:rsidP="00B45E11">
      <w:pPr>
        <w:pStyle w:val="BodyText"/>
        <w:jc w:val="center"/>
        <w:rPr>
          <w:b/>
          <w:sz w:val="20"/>
          <w:szCs w:val="20"/>
        </w:rPr>
      </w:pPr>
      <w:r w:rsidRPr="00DB3592">
        <w:rPr>
          <w:b/>
          <w:sz w:val="20"/>
          <w:szCs w:val="20"/>
        </w:rPr>
        <w:t>Figure 1: An example architecture of a satellite network with bent pipe transponders</w:t>
      </w:r>
    </w:p>
    <w:p w14:paraId="4073A3D3" w14:textId="77777777" w:rsidR="00B45E11" w:rsidRDefault="00B45E11" w:rsidP="00B45E11">
      <w:pPr>
        <w:pStyle w:val="BodyText"/>
      </w:pPr>
    </w:p>
    <w:p w14:paraId="56C3DE7F" w14:textId="36100E74" w:rsidR="00B45E11" w:rsidRDefault="00B45E11" w:rsidP="00B45E11">
      <w:pPr>
        <w:pStyle w:val="BodyText"/>
        <w:rPr>
          <w:sz w:val="20"/>
          <w:szCs w:val="20"/>
        </w:rPr>
      </w:pPr>
      <w:r w:rsidRPr="00DB3592">
        <w:rPr>
          <w:sz w:val="20"/>
          <w:szCs w:val="20"/>
        </w:rPr>
        <w:t>The two main physical phenomena that affect satellite communications system design are the long propagation delay</w:t>
      </w:r>
      <w:r w:rsidR="000A5107" w:rsidRPr="00DB3592">
        <w:rPr>
          <w:sz w:val="20"/>
          <w:szCs w:val="20"/>
        </w:rPr>
        <w:t>s</w:t>
      </w:r>
      <w:r w:rsidRPr="00DB3592">
        <w:rPr>
          <w:sz w:val="20"/>
          <w:szCs w:val="20"/>
        </w:rPr>
        <w:t xml:space="preserve"> and </w:t>
      </w:r>
      <w:r w:rsidR="000A5107" w:rsidRPr="00DB3592">
        <w:rPr>
          <w:sz w:val="20"/>
          <w:szCs w:val="20"/>
        </w:rPr>
        <w:t xml:space="preserve">the </w:t>
      </w:r>
      <w:r w:rsidRPr="00DB3592">
        <w:rPr>
          <w:sz w:val="20"/>
          <w:szCs w:val="20"/>
        </w:rPr>
        <w:t xml:space="preserve">Doppler effects. The Doppler effects are especially pronounced for LEO satellites. </w:t>
      </w:r>
    </w:p>
    <w:p w14:paraId="2107538E" w14:textId="2B17952D" w:rsidR="004A7B6B" w:rsidRPr="004A7B6B" w:rsidRDefault="004A7B6B" w:rsidP="00B45E11">
      <w:pPr>
        <w:pStyle w:val="Observation"/>
        <w:overflowPunct w:val="0"/>
        <w:autoSpaceDE w:val="0"/>
        <w:autoSpaceDN w:val="0"/>
        <w:adjustRightInd w:val="0"/>
        <w:spacing w:line="240" w:lineRule="auto"/>
        <w:textAlignment w:val="baseline"/>
      </w:pPr>
      <w:bookmarkStart w:id="2" w:name="_Toc4736451"/>
      <w:r w:rsidRPr="00DB3592">
        <w:rPr>
          <w:sz w:val="20"/>
          <w:szCs w:val="20"/>
        </w:rPr>
        <w:t>The two main physical phenomena that affect satellite communications system design are the long propagation delays and the Doppler effects.</w:t>
      </w:r>
      <w:bookmarkEnd w:id="2"/>
    </w:p>
    <w:p w14:paraId="2A89CADE" w14:textId="124DC759" w:rsidR="00251882" w:rsidRPr="00251882" w:rsidRDefault="00251882" w:rsidP="00251882">
      <w:pPr>
        <w:pStyle w:val="Heading2"/>
      </w:pPr>
      <w:r>
        <w:t>2.2</w:t>
      </w:r>
      <w:r>
        <w:tab/>
        <w:t>Propagation delays</w:t>
      </w:r>
    </w:p>
    <w:p w14:paraId="40A066DC" w14:textId="77777777" w:rsidR="008977C4" w:rsidRDefault="00B45E11" w:rsidP="008977C4">
      <w:pPr>
        <w:pStyle w:val="BodyText"/>
        <w:rPr>
          <w:sz w:val="20"/>
          <w:szCs w:val="20"/>
        </w:rPr>
      </w:pPr>
      <w:r w:rsidRPr="00DB3592">
        <w:rPr>
          <w:sz w:val="20"/>
          <w:szCs w:val="20"/>
        </w:rPr>
        <w:t>Propagation delay is</w:t>
      </w:r>
      <w:r w:rsidR="00D0256F">
        <w:rPr>
          <w:sz w:val="20"/>
          <w:szCs w:val="20"/>
        </w:rPr>
        <w:t xml:space="preserve"> one</w:t>
      </w:r>
      <w:r w:rsidRPr="00DB3592">
        <w:rPr>
          <w:sz w:val="20"/>
          <w:szCs w:val="20"/>
        </w:rPr>
        <w:t xml:space="preserve"> </w:t>
      </w:r>
      <w:r w:rsidR="00B05B1D" w:rsidRPr="00DB3592">
        <w:rPr>
          <w:sz w:val="20"/>
          <w:szCs w:val="20"/>
        </w:rPr>
        <w:t>of the</w:t>
      </w:r>
      <w:r w:rsidRPr="00DB3592">
        <w:rPr>
          <w:sz w:val="20"/>
          <w:szCs w:val="20"/>
        </w:rPr>
        <w:t xml:space="preserve"> main physical phenomen</w:t>
      </w:r>
      <w:r w:rsidR="00B05B1D" w:rsidRPr="00DB3592">
        <w:rPr>
          <w:sz w:val="20"/>
          <w:szCs w:val="20"/>
        </w:rPr>
        <w:t>a</w:t>
      </w:r>
      <w:r w:rsidRPr="00DB3592">
        <w:rPr>
          <w:sz w:val="20"/>
          <w:szCs w:val="20"/>
        </w:rPr>
        <w:t xml:space="preserve"> in a satellite communication system that makes the design different from that of a terrestrial mobile system. For a bent pipe satellite network, the following delays are relevant. </w:t>
      </w:r>
    </w:p>
    <w:p w14:paraId="09D4362C" w14:textId="77777777" w:rsidR="00A41F05" w:rsidRDefault="00D0256F" w:rsidP="00A41F05">
      <w:pPr>
        <w:pStyle w:val="BodyText"/>
        <w:numPr>
          <w:ilvl w:val="0"/>
          <w:numId w:val="47"/>
        </w:numPr>
        <w:rPr>
          <w:sz w:val="20"/>
          <w:szCs w:val="20"/>
        </w:rPr>
      </w:pPr>
      <w:r>
        <w:rPr>
          <w:sz w:val="20"/>
          <w:szCs w:val="20"/>
        </w:rPr>
        <w:t>One-way delay: from the ground BS</w:t>
      </w:r>
      <w:r w:rsidR="00B45E11" w:rsidRPr="00DB3592">
        <w:rPr>
          <w:sz w:val="20"/>
          <w:szCs w:val="20"/>
        </w:rPr>
        <w:t xml:space="preserve"> to the UE via the satellite, or the other way around </w:t>
      </w:r>
    </w:p>
    <w:p w14:paraId="7B85A81F" w14:textId="77777777" w:rsidR="00A41F05" w:rsidRDefault="00D0256F" w:rsidP="00A41F05">
      <w:pPr>
        <w:pStyle w:val="BodyText"/>
        <w:numPr>
          <w:ilvl w:val="0"/>
          <w:numId w:val="47"/>
        </w:numPr>
        <w:rPr>
          <w:sz w:val="20"/>
          <w:szCs w:val="20"/>
        </w:rPr>
      </w:pPr>
      <w:r>
        <w:rPr>
          <w:sz w:val="20"/>
          <w:szCs w:val="20"/>
        </w:rPr>
        <w:t>Round-trip delay: from the ground BS</w:t>
      </w:r>
      <w:r w:rsidR="00B45E11" w:rsidRPr="00DB3592">
        <w:rPr>
          <w:sz w:val="20"/>
          <w:szCs w:val="20"/>
        </w:rPr>
        <w:t xml:space="preserve"> to the UE via the satellite</w:t>
      </w:r>
      <w:r>
        <w:rPr>
          <w:sz w:val="20"/>
          <w:szCs w:val="20"/>
        </w:rPr>
        <w:t xml:space="preserve"> and from the UE back to the ground BS</w:t>
      </w:r>
      <w:r w:rsidR="008977C4">
        <w:rPr>
          <w:sz w:val="20"/>
          <w:szCs w:val="20"/>
        </w:rPr>
        <w:t xml:space="preserve"> via the satellite. </w:t>
      </w:r>
    </w:p>
    <w:p w14:paraId="6B1301E1" w14:textId="77777777" w:rsidR="00A41F05" w:rsidRDefault="00B45E11" w:rsidP="00A41F05">
      <w:pPr>
        <w:pStyle w:val="BodyText"/>
        <w:numPr>
          <w:ilvl w:val="0"/>
          <w:numId w:val="47"/>
        </w:numPr>
        <w:rPr>
          <w:sz w:val="20"/>
          <w:szCs w:val="20"/>
        </w:rPr>
      </w:pPr>
      <w:r w:rsidRPr="00DB3592">
        <w:rPr>
          <w:sz w:val="20"/>
          <w:szCs w:val="20"/>
        </w:rPr>
        <w:t xml:space="preserve">Differential delay: the delay difference of two selected points in the same spotbeam </w:t>
      </w:r>
    </w:p>
    <w:p w14:paraId="742AB711" w14:textId="0FB9EF03" w:rsidR="00BB7569" w:rsidRDefault="00B45E11" w:rsidP="00D0256F">
      <w:pPr>
        <w:pStyle w:val="BodyText"/>
        <w:rPr>
          <w:sz w:val="20"/>
          <w:szCs w:val="20"/>
        </w:rPr>
      </w:pPr>
      <w:r w:rsidRPr="00DB3592">
        <w:rPr>
          <w:sz w:val="20"/>
          <w:szCs w:val="20"/>
        </w:rPr>
        <w:t xml:space="preserve">The propagation delay depends on the length of the signal path, which further depends on the elevation angles of the satellite seen by the BS and UE on the ground. The minimum elevation angle is typically more than 10° for UE and more than 5° for BS on the ground. </w:t>
      </w:r>
      <w:r w:rsidR="00D0256F">
        <w:rPr>
          <w:sz w:val="20"/>
          <w:szCs w:val="20"/>
        </w:rPr>
        <w:t xml:space="preserve">The maximum round-trip time is ~545 </w:t>
      </w:r>
      <w:proofErr w:type="spellStart"/>
      <w:r w:rsidR="00D0256F">
        <w:rPr>
          <w:sz w:val="20"/>
          <w:szCs w:val="20"/>
        </w:rPr>
        <w:t>ms</w:t>
      </w:r>
      <w:proofErr w:type="spellEnd"/>
      <w:r w:rsidR="00D0256F">
        <w:rPr>
          <w:sz w:val="20"/>
          <w:szCs w:val="20"/>
        </w:rPr>
        <w:t xml:space="preserve"> for bent pipe GEO satellite communication system. </w:t>
      </w:r>
      <w:r w:rsidR="00D0256F" w:rsidRPr="00DB3592">
        <w:rPr>
          <w:sz w:val="20"/>
          <w:szCs w:val="20"/>
        </w:rPr>
        <w:t>Note that there may be additional delay betwe</w:t>
      </w:r>
      <w:r w:rsidR="00D0256F">
        <w:rPr>
          <w:sz w:val="20"/>
          <w:szCs w:val="20"/>
        </w:rPr>
        <w:t>en the ground BS antenna and ground BS</w:t>
      </w:r>
      <w:r w:rsidR="00D0256F" w:rsidRPr="00DB3592">
        <w:rPr>
          <w:sz w:val="20"/>
          <w:szCs w:val="20"/>
        </w:rPr>
        <w:t xml:space="preserve">, which may or may not be collocated. This delay depends on type of the deployment. </w:t>
      </w:r>
      <w:proofErr w:type="gramStart"/>
      <w:r w:rsidR="00BB7569">
        <w:rPr>
          <w:sz w:val="20"/>
          <w:szCs w:val="20"/>
        </w:rPr>
        <w:t>Taking into account</w:t>
      </w:r>
      <w:proofErr w:type="gramEnd"/>
      <w:r w:rsidR="00BB7569">
        <w:rPr>
          <w:sz w:val="20"/>
          <w:szCs w:val="20"/>
        </w:rPr>
        <w:t xml:space="preserve"> this extra potential delay component, we propose that this study should investigate how to adapt NR for NTN systems with up to 600 </w:t>
      </w:r>
      <w:proofErr w:type="spellStart"/>
      <w:r w:rsidR="00BB7569">
        <w:rPr>
          <w:sz w:val="20"/>
          <w:szCs w:val="20"/>
        </w:rPr>
        <w:t>ms</w:t>
      </w:r>
      <w:proofErr w:type="spellEnd"/>
      <w:r w:rsidR="00BB7569">
        <w:rPr>
          <w:sz w:val="20"/>
          <w:szCs w:val="20"/>
        </w:rPr>
        <w:t xml:space="preserve"> round-trip delay.</w:t>
      </w:r>
    </w:p>
    <w:p w14:paraId="6748022B" w14:textId="233F24F9" w:rsidR="00BB7569" w:rsidRPr="007F6ADA" w:rsidRDefault="002B5D42" w:rsidP="00BB7569">
      <w:pPr>
        <w:pStyle w:val="Proposal"/>
        <w:overflowPunct w:val="0"/>
        <w:autoSpaceDE w:val="0"/>
        <w:autoSpaceDN w:val="0"/>
        <w:adjustRightInd w:val="0"/>
        <w:spacing w:line="240" w:lineRule="auto"/>
        <w:textAlignment w:val="baseline"/>
        <w:rPr>
          <w:sz w:val="20"/>
          <w:szCs w:val="20"/>
        </w:rPr>
      </w:pPr>
      <w:bookmarkStart w:id="3" w:name="_Toc4736452"/>
      <w:r w:rsidRPr="007F6ADA">
        <w:rPr>
          <w:rFonts w:cs="Arial"/>
          <w:sz w:val="20"/>
          <w:szCs w:val="20"/>
        </w:rPr>
        <w:t xml:space="preserve">Up to </w:t>
      </w:r>
      <w:r w:rsidRPr="007F6ADA">
        <w:rPr>
          <w:sz w:val="20"/>
          <w:szCs w:val="20"/>
        </w:rPr>
        <w:t xml:space="preserve">600 </w:t>
      </w:r>
      <w:proofErr w:type="spellStart"/>
      <w:r w:rsidRPr="007F6ADA">
        <w:rPr>
          <w:sz w:val="20"/>
          <w:szCs w:val="20"/>
        </w:rPr>
        <w:t>ms</w:t>
      </w:r>
      <w:proofErr w:type="spellEnd"/>
      <w:r w:rsidRPr="007F6ADA">
        <w:rPr>
          <w:sz w:val="20"/>
          <w:szCs w:val="20"/>
        </w:rPr>
        <w:t xml:space="preserve"> round-trip</w:t>
      </w:r>
      <w:r w:rsidR="007D3DDC" w:rsidRPr="007F6ADA">
        <w:rPr>
          <w:sz w:val="20"/>
          <w:szCs w:val="20"/>
        </w:rPr>
        <w:t xml:space="preserve"> propagation</w:t>
      </w:r>
      <w:r w:rsidRPr="007F6ADA">
        <w:rPr>
          <w:sz w:val="20"/>
          <w:szCs w:val="20"/>
        </w:rPr>
        <w:t xml:space="preserve"> delay</w:t>
      </w:r>
      <w:r w:rsidRPr="007F6ADA">
        <w:rPr>
          <w:rFonts w:cs="Arial"/>
          <w:sz w:val="20"/>
          <w:szCs w:val="20"/>
        </w:rPr>
        <w:t xml:space="preserve"> should be considered in Rel-16 NR NTN study</w:t>
      </w:r>
      <w:r w:rsidR="00BB7569" w:rsidRPr="007F6ADA">
        <w:rPr>
          <w:rFonts w:cs="Arial"/>
          <w:sz w:val="20"/>
          <w:szCs w:val="20"/>
        </w:rPr>
        <w:t>.</w:t>
      </w:r>
      <w:bookmarkEnd w:id="3"/>
    </w:p>
    <w:p w14:paraId="3EFDAFB9" w14:textId="252334C3" w:rsidR="007D3DDC" w:rsidRDefault="00F416C3" w:rsidP="007D3DDC">
      <w:pPr>
        <w:pStyle w:val="BodyText"/>
        <w:rPr>
          <w:sz w:val="20"/>
          <w:szCs w:val="20"/>
        </w:rPr>
      </w:pPr>
      <w:r w:rsidRPr="00DB3592">
        <w:rPr>
          <w:sz w:val="20"/>
          <w:szCs w:val="20"/>
        </w:rPr>
        <w:t xml:space="preserve">The differential delay is mainly due to the different path </w:t>
      </w:r>
      <w:r>
        <w:rPr>
          <w:sz w:val="20"/>
          <w:szCs w:val="20"/>
        </w:rPr>
        <w:t>lengths of the service</w:t>
      </w:r>
      <w:r w:rsidRPr="00DB3592">
        <w:rPr>
          <w:sz w:val="20"/>
          <w:szCs w:val="20"/>
        </w:rPr>
        <w:t xml:space="preserve"> links (satellite - UE), since the feeder link is normally the same for terminals in the same spotbeam. Further, the differential delay </w:t>
      </w:r>
      <w:r>
        <w:rPr>
          <w:sz w:val="20"/>
          <w:szCs w:val="20"/>
        </w:rPr>
        <w:t>is mainly determined by the radius</w:t>
      </w:r>
      <w:r w:rsidRPr="00DB3592">
        <w:rPr>
          <w:sz w:val="20"/>
          <w:szCs w:val="20"/>
        </w:rPr>
        <w:t xml:space="preserve"> of the spotbeam. It may range from sub-</w:t>
      </w:r>
      <w:proofErr w:type="spellStart"/>
      <w:r w:rsidRPr="00DB3592">
        <w:rPr>
          <w:sz w:val="20"/>
          <w:szCs w:val="20"/>
        </w:rPr>
        <w:t>ms</w:t>
      </w:r>
      <w:proofErr w:type="spellEnd"/>
      <w:r w:rsidRPr="00DB3592">
        <w:rPr>
          <w:sz w:val="20"/>
          <w:szCs w:val="20"/>
        </w:rPr>
        <w:t xml:space="preserve"> (for spotbeam</w:t>
      </w:r>
      <w:r>
        <w:rPr>
          <w:sz w:val="20"/>
          <w:szCs w:val="20"/>
        </w:rPr>
        <w:t>’s radius</w:t>
      </w:r>
      <w:r w:rsidRPr="00DB3592">
        <w:rPr>
          <w:sz w:val="20"/>
          <w:szCs w:val="20"/>
        </w:rPr>
        <w:t xml:space="preserve"> on the order of tens of kms) to tens of </w:t>
      </w:r>
      <w:proofErr w:type="spellStart"/>
      <w:r w:rsidRPr="00DB3592">
        <w:rPr>
          <w:sz w:val="20"/>
          <w:szCs w:val="20"/>
        </w:rPr>
        <w:t>ms</w:t>
      </w:r>
      <w:proofErr w:type="spellEnd"/>
      <w:r w:rsidRPr="00DB3592">
        <w:rPr>
          <w:sz w:val="20"/>
          <w:szCs w:val="20"/>
        </w:rPr>
        <w:t xml:space="preserve"> (for spotbeam</w:t>
      </w:r>
      <w:r>
        <w:rPr>
          <w:sz w:val="20"/>
          <w:szCs w:val="20"/>
        </w:rPr>
        <w:t>’s radius</w:t>
      </w:r>
      <w:r w:rsidRPr="00DB3592">
        <w:rPr>
          <w:sz w:val="20"/>
          <w:szCs w:val="20"/>
        </w:rPr>
        <w:t xml:space="preserve"> on the order of thousands of kms).</w:t>
      </w:r>
      <w:r>
        <w:rPr>
          <w:sz w:val="20"/>
          <w:szCs w:val="20"/>
        </w:rPr>
        <w:t xml:space="preserve"> </w:t>
      </w:r>
      <w:r w:rsidR="007D3DDC">
        <w:rPr>
          <w:sz w:val="20"/>
          <w:szCs w:val="20"/>
        </w:rPr>
        <w:t xml:space="preserve">We propose that this study should investigate how to adapt NR for NTN systems with one-way differential delay up to 7 </w:t>
      </w:r>
      <w:proofErr w:type="spellStart"/>
      <w:r w:rsidR="007D3DDC">
        <w:rPr>
          <w:sz w:val="20"/>
          <w:szCs w:val="20"/>
        </w:rPr>
        <w:t>ms</w:t>
      </w:r>
      <w:proofErr w:type="spellEnd"/>
      <w:r w:rsidR="007D3DDC">
        <w:rPr>
          <w:sz w:val="20"/>
          <w:szCs w:val="20"/>
        </w:rPr>
        <w:t>, which is approximately equivalent to spotbeam diameter of ~2,100 km.</w:t>
      </w:r>
    </w:p>
    <w:p w14:paraId="62568CB0" w14:textId="444E424C" w:rsidR="00D0256F" w:rsidRPr="007F6ADA" w:rsidRDefault="007D3DDC" w:rsidP="00B45E11">
      <w:pPr>
        <w:pStyle w:val="Proposal"/>
        <w:overflowPunct w:val="0"/>
        <w:autoSpaceDE w:val="0"/>
        <w:autoSpaceDN w:val="0"/>
        <w:adjustRightInd w:val="0"/>
        <w:spacing w:line="240" w:lineRule="auto"/>
        <w:textAlignment w:val="baseline"/>
        <w:rPr>
          <w:sz w:val="20"/>
          <w:szCs w:val="20"/>
        </w:rPr>
      </w:pPr>
      <w:bookmarkStart w:id="4" w:name="_Toc4736453"/>
      <w:r w:rsidRPr="007F6ADA">
        <w:rPr>
          <w:rFonts w:cs="Arial"/>
          <w:sz w:val="20"/>
          <w:szCs w:val="20"/>
        </w:rPr>
        <w:t xml:space="preserve">Up to </w:t>
      </w:r>
      <w:r w:rsidRPr="007F6ADA">
        <w:rPr>
          <w:sz w:val="20"/>
          <w:szCs w:val="20"/>
        </w:rPr>
        <w:t xml:space="preserve">7 </w:t>
      </w:r>
      <w:proofErr w:type="spellStart"/>
      <w:r w:rsidRPr="007F6ADA">
        <w:rPr>
          <w:sz w:val="20"/>
          <w:szCs w:val="20"/>
        </w:rPr>
        <w:t>ms</w:t>
      </w:r>
      <w:proofErr w:type="spellEnd"/>
      <w:r w:rsidRPr="007F6ADA">
        <w:rPr>
          <w:sz w:val="20"/>
          <w:szCs w:val="20"/>
        </w:rPr>
        <w:t xml:space="preserve"> one-way differential delay</w:t>
      </w:r>
      <w:r w:rsidRPr="007F6ADA">
        <w:rPr>
          <w:rFonts w:cs="Arial"/>
          <w:sz w:val="20"/>
          <w:szCs w:val="20"/>
        </w:rPr>
        <w:t xml:space="preserve"> should be considered in Rel-16 NR NTN study.</w:t>
      </w:r>
      <w:bookmarkEnd w:id="4"/>
    </w:p>
    <w:p w14:paraId="5769E0EB" w14:textId="676E2F1B" w:rsidR="00B45E11" w:rsidRPr="00B45E11" w:rsidRDefault="00E93FC6" w:rsidP="00E93FC6">
      <w:pPr>
        <w:pStyle w:val="Heading2"/>
      </w:pPr>
      <w:r>
        <w:t>2.3</w:t>
      </w:r>
      <w:r>
        <w:tab/>
      </w:r>
      <w:r w:rsidR="00B45E11">
        <w:t>Doppler effects</w:t>
      </w:r>
    </w:p>
    <w:p w14:paraId="11DB3B49" w14:textId="77777777" w:rsidR="003342F0" w:rsidRDefault="00B45E11" w:rsidP="003342F0">
      <w:pPr>
        <w:pStyle w:val="BodyText"/>
        <w:rPr>
          <w:sz w:val="20"/>
          <w:szCs w:val="20"/>
        </w:rPr>
      </w:pPr>
      <w:r w:rsidRPr="00DB3592">
        <w:rPr>
          <w:sz w:val="20"/>
          <w:szCs w:val="20"/>
        </w:rPr>
        <w:t xml:space="preserve">Doppler is another major physical phenomenon that shall be properly </w:t>
      </w:r>
      <w:proofErr w:type="gramStart"/>
      <w:r w:rsidRPr="00DB3592">
        <w:rPr>
          <w:sz w:val="20"/>
          <w:szCs w:val="20"/>
        </w:rPr>
        <w:t>taken into account</w:t>
      </w:r>
      <w:proofErr w:type="gramEnd"/>
      <w:r w:rsidRPr="00DB3592">
        <w:rPr>
          <w:sz w:val="20"/>
          <w:szCs w:val="20"/>
        </w:rPr>
        <w:t xml:space="preserve"> in a satellite communication system. The following Doppler effects are particularly relevant. </w:t>
      </w:r>
    </w:p>
    <w:p w14:paraId="05513159" w14:textId="77777777" w:rsidR="003342F0" w:rsidRDefault="00B45E11" w:rsidP="003342F0">
      <w:pPr>
        <w:pStyle w:val="BodyText"/>
        <w:numPr>
          <w:ilvl w:val="0"/>
          <w:numId w:val="49"/>
        </w:numPr>
        <w:rPr>
          <w:sz w:val="20"/>
          <w:szCs w:val="20"/>
        </w:rPr>
      </w:pPr>
      <w:r w:rsidRPr="00DB3592">
        <w:rPr>
          <w:sz w:val="20"/>
          <w:szCs w:val="20"/>
        </w:rPr>
        <w:t xml:space="preserve">Doppler shift: the shift of the signal frequency due to the motion of the transmitter, the receiver, or both. </w:t>
      </w:r>
    </w:p>
    <w:p w14:paraId="642AA05D" w14:textId="77777777" w:rsidR="003342F0" w:rsidRDefault="00B45E11" w:rsidP="003342F0">
      <w:pPr>
        <w:pStyle w:val="BodyText"/>
        <w:numPr>
          <w:ilvl w:val="0"/>
          <w:numId w:val="49"/>
        </w:numPr>
        <w:rPr>
          <w:sz w:val="20"/>
          <w:szCs w:val="20"/>
        </w:rPr>
      </w:pPr>
      <w:r w:rsidRPr="00DB3592">
        <w:rPr>
          <w:sz w:val="20"/>
          <w:szCs w:val="20"/>
        </w:rPr>
        <w:t xml:space="preserve">Doppler variation rate: the derivative of the Doppler shift function of time, i.e., it characterizes how fast the Doppler shift evolves over time. </w:t>
      </w:r>
    </w:p>
    <w:p w14:paraId="4CBA6675" w14:textId="007002DE" w:rsidR="00B45E11" w:rsidRPr="00DB3592" w:rsidRDefault="00B45E11" w:rsidP="00B45E11">
      <w:pPr>
        <w:pStyle w:val="BodyText"/>
        <w:rPr>
          <w:sz w:val="20"/>
          <w:szCs w:val="20"/>
        </w:rPr>
      </w:pPr>
      <w:r w:rsidRPr="00DB3592">
        <w:rPr>
          <w:sz w:val="20"/>
          <w:szCs w:val="20"/>
        </w:rPr>
        <w:t>Doppler effects depend on the relative speed of the satellites and the UE and the carrier frequency.</w:t>
      </w:r>
    </w:p>
    <w:p w14:paraId="0FF74427" w14:textId="49369D33" w:rsidR="00B45E11" w:rsidRDefault="00B45E11" w:rsidP="0037443F">
      <w:pPr>
        <w:pStyle w:val="BodyText"/>
      </w:pPr>
      <w:r w:rsidRPr="00DB3592">
        <w:rPr>
          <w:sz w:val="20"/>
          <w:szCs w:val="20"/>
        </w:rPr>
        <w:t xml:space="preserve">For GEO satellites, they are fixed in principle and thus do not induce Doppler shift. </w:t>
      </w:r>
      <w:proofErr w:type="gramStart"/>
      <w:r w:rsidRPr="00DB3592">
        <w:rPr>
          <w:sz w:val="20"/>
          <w:szCs w:val="20"/>
        </w:rPr>
        <w:t>In reality, however</w:t>
      </w:r>
      <w:proofErr w:type="gramEnd"/>
      <w:r w:rsidRPr="00DB3592">
        <w:rPr>
          <w:sz w:val="20"/>
          <w:szCs w:val="20"/>
        </w:rPr>
        <w:t>, they move around their nominal orbital positions due to</w:t>
      </w:r>
      <w:r w:rsidR="004D19E1" w:rsidRPr="00DB3592">
        <w:rPr>
          <w:sz w:val="20"/>
          <w:szCs w:val="20"/>
        </w:rPr>
        <w:t>,</w:t>
      </w:r>
      <w:r w:rsidRPr="00DB3592">
        <w:rPr>
          <w:sz w:val="20"/>
          <w:szCs w:val="20"/>
        </w:rPr>
        <w:t xml:space="preserve"> for example</w:t>
      </w:r>
      <w:r w:rsidR="004D19E1" w:rsidRPr="00DB3592">
        <w:rPr>
          <w:sz w:val="20"/>
          <w:szCs w:val="20"/>
        </w:rPr>
        <w:t>,</w:t>
      </w:r>
      <w:r w:rsidRPr="00DB3592">
        <w:rPr>
          <w:sz w:val="20"/>
          <w:szCs w:val="20"/>
        </w:rPr>
        <w:t xml:space="preserve"> perturbations. </w:t>
      </w:r>
      <w:r w:rsidR="00F01DB3" w:rsidRPr="00DB3592">
        <w:rPr>
          <w:sz w:val="20"/>
          <w:szCs w:val="20"/>
        </w:rPr>
        <w:t>T</w:t>
      </w:r>
      <w:r w:rsidRPr="00DB3592">
        <w:rPr>
          <w:sz w:val="20"/>
          <w:szCs w:val="20"/>
        </w:rPr>
        <w:t xml:space="preserve">he trajectory </w:t>
      </w:r>
      <w:r w:rsidR="00F01DB3" w:rsidRPr="00DB3592">
        <w:rPr>
          <w:sz w:val="20"/>
          <w:szCs w:val="20"/>
        </w:rPr>
        <w:t xml:space="preserve">a </w:t>
      </w:r>
      <w:r w:rsidRPr="00DB3592">
        <w:rPr>
          <w:sz w:val="20"/>
          <w:szCs w:val="20"/>
        </w:rPr>
        <w:t xml:space="preserve">GEO satellite typically </w:t>
      </w:r>
      <w:r w:rsidR="0037443F">
        <w:rPr>
          <w:sz w:val="20"/>
          <w:szCs w:val="20"/>
        </w:rPr>
        <w:t>follows is a figure “8” pattern</w:t>
      </w:r>
      <w:r w:rsidRPr="00DB3592">
        <w:rPr>
          <w:sz w:val="20"/>
          <w:szCs w:val="20"/>
        </w:rPr>
        <w:t>.</w:t>
      </w:r>
      <w:r w:rsidR="0037443F">
        <w:rPr>
          <w:sz w:val="20"/>
          <w:szCs w:val="20"/>
        </w:rPr>
        <w:t xml:space="preserve"> </w:t>
      </w:r>
    </w:p>
    <w:p w14:paraId="6F721724" w14:textId="5EF29308" w:rsidR="0037443F" w:rsidRDefault="00B45E11" w:rsidP="00B45E11">
      <w:pPr>
        <w:pStyle w:val="BodyText"/>
        <w:rPr>
          <w:sz w:val="20"/>
          <w:szCs w:val="20"/>
        </w:rPr>
      </w:pPr>
      <w:r w:rsidRPr="0037443F">
        <w:rPr>
          <w:sz w:val="20"/>
          <w:szCs w:val="20"/>
        </w:rPr>
        <w:t xml:space="preserve">The Doppler effects become remarkable for MEO and LEO satellites. </w:t>
      </w:r>
      <w:r w:rsidR="0037443F" w:rsidRPr="0037443F">
        <w:rPr>
          <w:sz w:val="20"/>
          <w:szCs w:val="20"/>
        </w:rPr>
        <w:t>For example, according to Table 5.3.4.3.2-7 in 3GPP TR 38.811 [2</w:t>
      </w:r>
      <w:r w:rsidR="0037443F">
        <w:rPr>
          <w:sz w:val="20"/>
          <w:szCs w:val="20"/>
        </w:rPr>
        <w:t>], for a LEO at 600 km height, the maximum Doppler can be up +/- 48 kHz and the maximum Doppler shift variation rate can be +/- 544 Hz/s at the 2 GHz carrier frequency.</w:t>
      </w:r>
    </w:p>
    <w:p w14:paraId="4F60F962" w14:textId="24EF2AD0" w:rsidR="004229D9" w:rsidRDefault="000F30DE" w:rsidP="004229D9">
      <w:pPr>
        <w:pStyle w:val="BodyText"/>
        <w:rPr>
          <w:sz w:val="20"/>
          <w:szCs w:val="20"/>
        </w:rPr>
      </w:pPr>
      <w:r>
        <w:rPr>
          <w:sz w:val="20"/>
          <w:szCs w:val="20"/>
        </w:rPr>
        <w:t xml:space="preserve">In principle, </w:t>
      </w:r>
      <w:r w:rsidR="004229D9">
        <w:rPr>
          <w:sz w:val="20"/>
          <w:szCs w:val="20"/>
        </w:rPr>
        <w:t>Doppler</w:t>
      </w:r>
      <w:r w:rsidRPr="000F30DE">
        <w:rPr>
          <w:sz w:val="20"/>
          <w:szCs w:val="20"/>
        </w:rPr>
        <w:t xml:space="preserve"> compensation techniques can be implemented espe</w:t>
      </w:r>
      <w:r w:rsidR="004229D9">
        <w:rPr>
          <w:sz w:val="20"/>
          <w:szCs w:val="20"/>
        </w:rPr>
        <w:t>cially for Non-GEO satellites with GNSS based techniques. The UE</w:t>
      </w:r>
      <w:r w:rsidRPr="000F30DE">
        <w:rPr>
          <w:sz w:val="20"/>
          <w:szCs w:val="20"/>
        </w:rPr>
        <w:t xml:space="preserve"> equipped with a GNSS receiver determines its position and the univers</w:t>
      </w:r>
      <w:r w:rsidR="004229D9">
        <w:rPr>
          <w:sz w:val="20"/>
          <w:szCs w:val="20"/>
        </w:rPr>
        <w:t xml:space="preserve">al time. With pre-loaded or </w:t>
      </w:r>
      <w:r w:rsidRPr="000F30DE">
        <w:rPr>
          <w:sz w:val="20"/>
          <w:szCs w:val="20"/>
        </w:rPr>
        <w:t xml:space="preserve">updated ephemeris of the satellite constellation which can be </w:t>
      </w:r>
      <w:r w:rsidR="004229D9">
        <w:rPr>
          <w:sz w:val="20"/>
          <w:szCs w:val="20"/>
        </w:rPr>
        <w:t xml:space="preserve">theoretical or actual, the UE can </w:t>
      </w:r>
      <w:r w:rsidRPr="000F30DE">
        <w:rPr>
          <w:sz w:val="20"/>
          <w:szCs w:val="20"/>
        </w:rPr>
        <w:t xml:space="preserve">compute the position and motion of the possible serving satellites enabling to determine the Doppler shift and variation rate. </w:t>
      </w:r>
      <w:r w:rsidR="004229D9">
        <w:rPr>
          <w:sz w:val="20"/>
          <w:szCs w:val="20"/>
        </w:rPr>
        <w:t>However, it is not clear how accurate the Doppler</w:t>
      </w:r>
      <w:r w:rsidR="004229D9" w:rsidRPr="000F30DE">
        <w:rPr>
          <w:sz w:val="20"/>
          <w:szCs w:val="20"/>
        </w:rPr>
        <w:t xml:space="preserve"> compensation techniques</w:t>
      </w:r>
      <w:r w:rsidR="004229D9">
        <w:rPr>
          <w:sz w:val="20"/>
          <w:szCs w:val="20"/>
        </w:rPr>
        <w:t xml:space="preserve"> can be and should be studied to adapt NR for NTN systems. Further, it is also beneficial to study how to handle the remarkable Doppler effects using non-GNSS </w:t>
      </w:r>
      <w:r w:rsidR="004229D9" w:rsidRPr="000F30DE">
        <w:rPr>
          <w:sz w:val="20"/>
          <w:szCs w:val="20"/>
        </w:rPr>
        <w:t>based techniques</w:t>
      </w:r>
      <w:r w:rsidR="004229D9">
        <w:rPr>
          <w:sz w:val="20"/>
          <w:szCs w:val="20"/>
        </w:rPr>
        <w:t xml:space="preserve"> since not all NR UEs are expected to be equipped with GNSS chipsets.</w:t>
      </w:r>
    </w:p>
    <w:p w14:paraId="4F1F3BC6" w14:textId="73F299F9" w:rsidR="004229D9" w:rsidRDefault="004229D9" w:rsidP="00B45E11">
      <w:pPr>
        <w:pStyle w:val="BodyText"/>
        <w:rPr>
          <w:sz w:val="20"/>
          <w:szCs w:val="20"/>
        </w:rPr>
      </w:pPr>
    </w:p>
    <w:p w14:paraId="1F0CA11D" w14:textId="363A9A73" w:rsidR="004229D9" w:rsidRPr="007F6ADA" w:rsidRDefault="004229D9" w:rsidP="004229D9">
      <w:pPr>
        <w:pStyle w:val="Proposal"/>
        <w:rPr>
          <w:sz w:val="20"/>
          <w:szCs w:val="20"/>
        </w:rPr>
      </w:pPr>
      <w:bookmarkStart w:id="5" w:name="_Toc4736454"/>
      <w:r w:rsidRPr="007F6ADA">
        <w:rPr>
          <w:sz w:val="20"/>
          <w:szCs w:val="20"/>
        </w:rPr>
        <w:t xml:space="preserve">Performance of GNSS based techniques for </w:t>
      </w:r>
      <w:r w:rsidRPr="007F6ADA">
        <w:rPr>
          <w:rFonts w:cs="Arial"/>
          <w:sz w:val="20"/>
          <w:szCs w:val="20"/>
        </w:rPr>
        <w:t>Doppler compensation should be investigated in Rel-16 NR NTN study.</w:t>
      </w:r>
      <w:bookmarkEnd w:id="5"/>
    </w:p>
    <w:p w14:paraId="0290E0D8" w14:textId="6F7F684E" w:rsidR="004229D9" w:rsidRPr="007F6ADA" w:rsidRDefault="004229D9" w:rsidP="00B45E11">
      <w:pPr>
        <w:pStyle w:val="Proposal"/>
        <w:rPr>
          <w:sz w:val="20"/>
          <w:szCs w:val="20"/>
        </w:rPr>
      </w:pPr>
      <w:bookmarkStart w:id="6" w:name="_Toc4736455"/>
      <w:r w:rsidRPr="007F6ADA">
        <w:rPr>
          <w:sz w:val="20"/>
          <w:szCs w:val="20"/>
        </w:rPr>
        <w:t xml:space="preserve">Non-GNSS based techniques for </w:t>
      </w:r>
      <w:r w:rsidRPr="007F6ADA">
        <w:rPr>
          <w:rFonts w:cs="Arial"/>
          <w:sz w:val="20"/>
          <w:szCs w:val="20"/>
        </w:rPr>
        <w:t>Doppler compensation should be investigated in Rel-16 NR NTN study.</w:t>
      </w:r>
      <w:bookmarkEnd w:id="6"/>
    </w:p>
    <w:p w14:paraId="5300F849" w14:textId="18599418" w:rsidR="00C01F33" w:rsidRPr="00CE0424" w:rsidRDefault="00C01F33" w:rsidP="00CE0424">
      <w:pPr>
        <w:pStyle w:val="Heading1"/>
      </w:pPr>
      <w:r w:rsidRPr="00CE0424">
        <w:t>Conclusion</w:t>
      </w:r>
    </w:p>
    <w:p w14:paraId="1EC4F7AB" w14:textId="64229FF4" w:rsidR="009F06A5" w:rsidRPr="00D77EED" w:rsidRDefault="00F03DAF" w:rsidP="009F06A5">
      <w:pPr>
        <w:pStyle w:val="BodyText"/>
        <w:rPr>
          <w:sz w:val="20"/>
          <w:szCs w:val="20"/>
        </w:rPr>
      </w:pPr>
      <w:r w:rsidRPr="00D77EED">
        <w:rPr>
          <w:sz w:val="20"/>
          <w:szCs w:val="20"/>
        </w:rPr>
        <w:t>In the previous sections</w:t>
      </w:r>
      <w:r w:rsidR="00C836D8" w:rsidRPr="00D77EED">
        <w:rPr>
          <w:sz w:val="20"/>
          <w:szCs w:val="20"/>
        </w:rPr>
        <w:t>, we provide an overview of the key conside</w:t>
      </w:r>
      <w:r w:rsidR="000C4F3E" w:rsidRPr="00D77EED">
        <w:rPr>
          <w:sz w:val="20"/>
          <w:szCs w:val="20"/>
        </w:rPr>
        <w:t>rations for adapting NR for NTN</w:t>
      </w:r>
      <w:r w:rsidR="0053334B" w:rsidRPr="00D77EED">
        <w:rPr>
          <w:sz w:val="20"/>
          <w:szCs w:val="20"/>
        </w:rPr>
        <w:t xml:space="preserve">. </w:t>
      </w:r>
      <w:r w:rsidR="009F06A5" w:rsidRPr="00D77EED">
        <w:rPr>
          <w:sz w:val="20"/>
          <w:szCs w:val="20"/>
        </w:rPr>
        <w:t>In the previous sections we made the following observations:</w:t>
      </w:r>
      <w:r w:rsidR="009F06A5" w:rsidRPr="00D77EED">
        <w:rPr>
          <w:b/>
          <w:bCs/>
          <w:sz w:val="20"/>
          <w:szCs w:val="20"/>
        </w:rPr>
        <w:t xml:space="preserve"> </w:t>
      </w:r>
    </w:p>
    <w:p w14:paraId="283B09F9" w14:textId="507894B2" w:rsidR="00951076" w:rsidRPr="00D77EED" w:rsidRDefault="009F06A5">
      <w:pPr>
        <w:pStyle w:val="TableofFigures"/>
        <w:tabs>
          <w:tab w:val="right" w:leader="dot" w:pos="9629"/>
        </w:tabs>
        <w:rPr>
          <w:rFonts w:asciiTheme="minorHAnsi" w:eastAsiaTheme="minorEastAsia" w:hAnsiTheme="minorHAnsi"/>
          <w:b w:val="0"/>
          <w:noProof/>
          <w:sz w:val="20"/>
          <w:szCs w:val="20"/>
        </w:rPr>
      </w:pPr>
      <w:r w:rsidRPr="00D77EED">
        <w:rPr>
          <w:b w:val="0"/>
          <w:bCs/>
          <w:sz w:val="20"/>
          <w:szCs w:val="20"/>
        </w:rPr>
        <w:fldChar w:fldCharType="begin"/>
      </w:r>
      <w:r w:rsidRPr="00D77EED">
        <w:rPr>
          <w:b w:val="0"/>
          <w:bCs/>
          <w:sz w:val="20"/>
          <w:szCs w:val="20"/>
        </w:rPr>
        <w:instrText xml:space="preserve"> TOC \f O \n \h \z \t "Observation" \c </w:instrText>
      </w:r>
      <w:r w:rsidRPr="00D77EED">
        <w:rPr>
          <w:b w:val="0"/>
          <w:bCs/>
          <w:sz w:val="20"/>
          <w:szCs w:val="20"/>
        </w:rPr>
        <w:fldChar w:fldCharType="separate"/>
      </w:r>
      <w:hyperlink w:anchor="_Toc4736451" w:history="1">
        <w:r w:rsidR="00951076" w:rsidRPr="00D77EED">
          <w:rPr>
            <w:rStyle w:val="Hyperlink"/>
            <w:noProof/>
            <w:sz w:val="20"/>
            <w:szCs w:val="20"/>
          </w:rPr>
          <w:t>Observation 1</w:t>
        </w:r>
        <w:r w:rsidR="00951076" w:rsidRPr="00D77EED">
          <w:rPr>
            <w:rFonts w:asciiTheme="minorHAnsi" w:eastAsiaTheme="minorEastAsia" w:hAnsiTheme="minorHAnsi"/>
            <w:b w:val="0"/>
            <w:noProof/>
            <w:sz w:val="20"/>
            <w:szCs w:val="20"/>
          </w:rPr>
          <w:tab/>
        </w:r>
        <w:r w:rsidR="00951076" w:rsidRPr="00D77EED">
          <w:rPr>
            <w:rStyle w:val="Hyperlink"/>
            <w:noProof/>
            <w:sz w:val="20"/>
            <w:szCs w:val="20"/>
          </w:rPr>
          <w:t>The two main physical phenomena that affect satellite communications system design are the long propagation delays and the Doppler effects.</w:t>
        </w:r>
      </w:hyperlink>
    </w:p>
    <w:p w14:paraId="3FD31450" w14:textId="3ACE948C" w:rsidR="009F06A5" w:rsidRPr="00D77EED" w:rsidRDefault="009F06A5" w:rsidP="009F06A5">
      <w:pPr>
        <w:pStyle w:val="BodyText"/>
        <w:rPr>
          <w:sz w:val="20"/>
          <w:szCs w:val="20"/>
        </w:rPr>
      </w:pPr>
      <w:r w:rsidRPr="00D77EED">
        <w:rPr>
          <w:b/>
          <w:bCs/>
          <w:sz w:val="20"/>
          <w:szCs w:val="20"/>
        </w:rPr>
        <w:fldChar w:fldCharType="end"/>
      </w:r>
    </w:p>
    <w:p w14:paraId="1FBF2552" w14:textId="77777777" w:rsidR="009F06A5" w:rsidRPr="00D77EED" w:rsidRDefault="009F06A5" w:rsidP="009F06A5">
      <w:pPr>
        <w:pStyle w:val="BodyText"/>
        <w:rPr>
          <w:sz w:val="20"/>
          <w:szCs w:val="20"/>
        </w:rPr>
      </w:pPr>
      <w:r w:rsidRPr="00D77EED">
        <w:rPr>
          <w:sz w:val="20"/>
          <w:szCs w:val="20"/>
        </w:rPr>
        <w:t>Based on the discussion in the previous sections we propose the following:</w:t>
      </w:r>
    </w:p>
    <w:p w14:paraId="2D188D43" w14:textId="0F3B59F9" w:rsidR="00951076" w:rsidRPr="00D77EED" w:rsidRDefault="009F06A5">
      <w:pPr>
        <w:pStyle w:val="TableofFigures"/>
        <w:tabs>
          <w:tab w:val="right" w:leader="dot" w:pos="9629"/>
        </w:tabs>
        <w:rPr>
          <w:rFonts w:asciiTheme="minorHAnsi" w:eastAsiaTheme="minorEastAsia" w:hAnsiTheme="minorHAnsi"/>
          <w:b w:val="0"/>
          <w:noProof/>
          <w:sz w:val="20"/>
          <w:szCs w:val="20"/>
        </w:rPr>
      </w:pPr>
      <w:r w:rsidRPr="00D77EED">
        <w:rPr>
          <w:b w:val="0"/>
          <w:bCs/>
          <w:sz w:val="20"/>
          <w:szCs w:val="20"/>
          <w:lang w:eastAsia="zh-CN"/>
        </w:rPr>
        <w:fldChar w:fldCharType="begin"/>
      </w:r>
      <w:r w:rsidRPr="00D77EED">
        <w:rPr>
          <w:b w:val="0"/>
          <w:bCs/>
          <w:sz w:val="20"/>
          <w:szCs w:val="20"/>
        </w:rPr>
        <w:instrText xml:space="preserve"> TOC \n \h \z \t "Proposal" \c </w:instrText>
      </w:r>
      <w:r w:rsidRPr="00D77EED">
        <w:rPr>
          <w:b w:val="0"/>
          <w:bCs/>
          <w:sz w:val="20"/>
          <w:szCs w:val="20"/>
          <w:lang w:eastAsia="zh-CN"/>
        </w:rPr>
        <w:fldChar w:fldCharType="separate"/>
      </w:r>
      <w:hyperlink w:anchor="_Toc4736452" w:history="1">
        <w:r w:rsidR="00951076" w:rsidRPr="00D77EED">
          <w:rPr>
            <w:rStyle w:val="Hyperlink"/>
            <w:noProof/>
            <w:sz w:val="20"/>
            <w:szCs w:val="20"/>
          </w:rPr>
          <w:t>Proposal 1</w:t>
        </w:r>
        <w:r w:rsidR="00951076" w:rsidRPr="00D77EED">
          <w:rPr>
            <w:rFonts w:asciiTheme="minorHAnsi" w:eastAsiaTheme="minorEastAsia" w:hAnsiTheme="minorHAnsi"/>
            <w:b w:val="0"/>
            <w:noProof/>
            <w:sz w:val="20"/>
            <w:szCs w:val="20"/>
          </w:rPr>
          <w:tab/>
        </w:r>
        <w:r w:rsidR="00951076" w:rsidRPr="00D77EED">
          <w:rPr>
            <w:rStyle w:val="Hyperlink"/>
            <w:rFonts w:cs="Arial"/>
            <w:noProof/>
            <w:sz w:val="20"/>
            <w:szCs w:val="20"/>
          </w:rPr>
          <w:t xml:space="preserve">Up to </w:t>
        </w:r>
        <w:r w:rsidR="00951076" w:rsidRPr="00D77EED">
          <w:rPr>
            <w:rStyle w:val="Hyperlink"/>
            <w:noProof/>
            <w:sz w:val="20"/>
            <w:szCs w:val="20"/>
          </w:rPr>
          <w:t>600 ms round-trip propagation delay</w:t>
        </w:r>
        <w:r w:rsidR="00951076" w:rsidRPr="00D77EED">
          <w:rPr>
            <w:rStyle w:val="Hyperlink"/>
            <w:rFonts w:cs="Arial"/>
            <w:noProof/>
            <w:sz w:val="20"/>
            <w:szCs w:val="20"/>
          </w:rPr>
          <w:t xml:space="preserve"> should be considered in Rel-16 NR NTN study.</w:t>
        </w:r>
      </w:hyperlink>
    </w:p>
    <w:p w14:paraId="21F01A7C" w14:textId="15F63C2E" w:rsidR="00951076" w:rsidRPr="00D77EED" w:rsidRDefault="00241012">
      <w:pPr>
        <w:pStyle w:val="TableofFigures"/>
        <w:tabs>
          <w:tab w:val="right" w:leader="dot" w:pos="9629"/>
        </w:tabs>
        <w:rPr>
          <w:rFonts w:asciiTheme="minorHAnsi" w:eastAsiaTheme="minorEastAsia" w:hAnsiTheme="minorHAnsi"/>
          <w:b w:val="0"/>
          <w:noProof/>
          <w:sz w:val="20"/>
          <w:szCs w:val="20"/>
        </w:rPr>
      </w:pPr>
      <w:hyperlink w:anchor="_Toc4736453" w:history="1">
        <w:r w:rsidR="00951076" w:rsidRPr="00D77EED">
          <w:rPr>
            <w:rStyle w:val="Hyperlink"/>
            <w:noProof/>
            <w:sz w:val="20"/>
            <w:szCs w:val="20"/>
          </w:rPr>
          <w:t>Proposal 2</w:t>
        </w:r>
        <w:r w:rsidR="00951076" w:rsidRPr="00D77EED">
          <w:rPr>
            <w:rFonts w:asciiTheme="minorHAnsi" w:eastAsiaTheme="minorEastAsia" w:hAnsiTheme="minorHAnsi"/>
            <w:b w:val="0"/>
            <w:noProof/>
            <w:sz w:val="20"/>
            <w:szCs w:val="20"/>
          </w:rPr>
          <w:tab/>
        </w:r>
        <w:r w:rsidR="00951076" w:rsidRPr="00D77EED">
          <w:rPr>
            <w:rStyle w:val="Hyperlink"/>
            <w:rFonts w:cs="Arial"/>
            <w:noProof/>
            <w:sz w:val="20"/>
            <w:szCs w:val="20"/>
          </w:rPr>
          <w:t xml:space="preserve">Up to </w:t>
        </w:r>
        <w:r w:rsidR="00951076" w:rsidRPr="00D77EED">
          <w:rPr>
            <w:rStyle w:val="Hyperlink"/>
            <w:noProof/>
            <w:sz w:val="20"/>
            <w:szCs w:val="20"/>
          </w:rPr>
          <w:t>7 ms one-way differential delay</w:t>
        </w:r>
        <w:r w:rsidR="00951076" w:rsidRPr="00D77EED">
          <w:rPr>
            <w:rStyle w:val="Hyperlink"/>
            <w:rFonts w:cs="Arial"/>
            <w:noProof/>
            <w:sz w:val="20"/>
            <w:szCs w:val="20"/>
          </w:rPr>
          <w:t xml:space="preserve"> should be considered in Rel-16 NR NTN study.</w:t>
        </w:r>
      </w:hyperlink>
    </w:p>
    <w:p w14:paraId="1334C40B" w14:textId="289C7D81" w:rsidR="00951076" w:rsidRPr="00D77EED" w:rsidRDefault="00241012">
      <w:pPr>
        <w:pStyle w:val="TableofFigures"/>
        <w:tabs>
          <w:tab w:val="right" w:leader="dot" w:pos="9629"/>
        </w:tabs>
        <w:rPr>
          <w:rFonts w:asciiTheme="minorHAnsi" w:eastAsiaTheme="minorEastAsia" w:hAnsiTheme="minorHAnsi"/>
          <w:b w:val="0"/>
          <w:noProof/>
          <w:sz w:val="20"/>
          <w:szCs w:val="20"/>
        </w:rPr>
      </w:pPr>
      <w:hyperlink w:anchor="_Toc4736454" w:history="1">
        <w:r w:rsidR="00951076" w:rsidRPr="00D77EED">
          <w:rPr>
            <w:rStyle w:val="Hyperlink"/>
            <w:noProof/>
            <w:sz w:val="20"/>
            <w:szCs w:val="20"/>
          </w:rPr>
          <w:t>Proposal 3</w:t>
        </w:r>
        <w:r w:rsidR="00951076" w:rsidRPr="00D77EED">
          <w:rPr>
            <w:rFonts w:asciiTheme="minorHAnsi" w:eastAsiaTheme="minorEastAsia" w:hAnsiTheme="minorHAnsi"/>
            <w:b w:val="0"/>
            <w:noProof/>
            <w:sz w:val="20"/>
            <w:szCs w:val="20"/>
          </w:rPr>
          <w:tab/>
        </w:r>
        <w:r w:rsidR="00951076" w:rsidRPr="00D77EED">
          <w:rPr>
            <w:rStyle w:val="Hyperlink"/>
            <w:noProof/>
            <w:sz w:val="20"/>
            <w:szCs w:val="20"/>
          </w:rPr>
          <w:t xml:space="preserve">Performance of GNSS based techniques for </w:t>
        </w:r>
        <w:r w:rsidR="00951076" w:rsidRPr="00D77EED">
          <w:rPr>
            <w:rStyle w:val="Hyperlink"/>
            <w:rFonts w:cs="Arial"/>
            <w:noProof/>
            <w:sz w:val="20"/>
            <w:szCs w:val="20"/>
          </w:rPr>
          <w:t>Doppler compensation should be investigated in Rel-16 NR NTN study.</w:t>
        </w:r>
      </w:hyperlink>
    </w:p>
    <w:p w14:paraId="6A5187ED" w14:textId="6935B8AF" w:rsidR="00951076" w:rsidRPr="00D77EED" w:rsidRDefault="00241012">
      <w:pPr>
        <w:pStyle w:val="TableofFigures"/>
        <w:tabs>
          <w:tab w:val="right" w:leader="dot" w:pos="9629"/>
        </w:tabs>
        <w:rPr>
          <w:rFonts w:asciiTheme="minorHAnsi" w:eastAsiaTheme="minorEastAsia" w:hAnsiTheme="minorHAnsi"/>
          <w:b w:val="0"/>
          <w:noProof/>
          <w:sz w:val="20"/>
          <w:szCs w:val="20"/>
        </w:rPr>
      </w:pPr>
      <w:hyperlink w:anchor="_Toc4736455" w:history="1">
        <w:r w:rsidR="00951076" w:rsidRPr="00D77EED">
          <w:rPr>
            <w:rStyle w:val="Hyperlink"/>
            <w:noProof/>
            <w:sz w:val="20"/>
            <w:szCs w:val="20"/>
          </w:rPr>
          <w:t>Proposal 4</w:t>
        </w:r>
        <w:r w:rsidR="00951076" w:rsidRPr="00D77EED">
          <w:rPr>
            <w:rFonts w:asciiTheme="minorHAnsi" w:eastAsiaTheme="minorEastAsia" w:hAnsiTheme="minorHAnsi"/>
            <w:b w:val="0"/>
            <w:noProof/>
            <w:sz w:val="20"/>
            <w:szCs w:val="20"/>
          </w:rPr>
          <w:tab/>
        </w:r>
        <w:r w:rsidR="00951076" w:rsidRPr="00D77EED">
          <w:rPr>
            <w:rStyle w:val="Hyperlink"/>
            <w:noProof/>
            <w:sz w:val="20"/>
            <w:szCs w:val="20"/>
          </w:rPr>
          <w:t xml:space="preserve">Non-GNSS based techniques for </w:t>
        </w:r>
        <w:r w:rsidR="00951076" w:rsidRPr="00D77EED">
          <w:rPr>
            <w:rStyle w:val="Hyperlink"/>
            <w:rFonts w:cs="Arial"/>
            <w:noProof/>
            <w:sz w:val="20"/>
            <w:szCs w:val="20"/>
          </w:rPr>
          <w:t>Doppler compensation should be investigated in Rel-16 NR NTN study.</w:t>
        </w:r>
      </w:hyperlink>
    </w:p>
    <w:p w14:paraId="7FDB652A" w14:textId="5E3C84E3" w:rsidR="009F06A5" w:rsidRPr="00752E43" w:rsidRDefault="009F06A5" w:rsidP="00752E43">
      <w:pPr>
        <w:rPr>
          <w:highlight w:val="yellow"/>
        </w:rPr>
      </w:pPr>
      <w:r w:rsidRPr="00D77EED">
        <w:rPr>
          <w:b/>
          <w:bCs/>
          <w:sz w:val="20"/>
          <w:szCs w:val="20"/>
        </w:rPr>
        <w:fldChar w:fldCharType="end"/>
      </w:r>
    </w:p>
    <w:p w14:paraId="43055322" w14:textId="72D772FD" w:rsidR="00185E4A" w:rsidRPr="0054452A" w:rsidRDefault="00F507D1" w:rsidP="0054452A">
      <w:pPr>
        <w:pStyle w:val="Heading1"/>
      </w:pPr>
      <w:bookmarkStart w:id="7" w:name="_In-sequence_SDU_delivery"/>
      <w:bookmarkEnd w:id="7"/>
      <w:r w:rsidRPr="00CE0424">
        <w:t>References</w:t>
      </w:r>
      <w:bookmarkStart w:id="8" w:name="_Ref510504022"/>
      <w:bookmarkStart w:id="9" w:name="_Ref510814820"/>
      <w:bookmarkStart w:id="10" w:name="_Ref174151459"/>
      <w:bookmarkStart w:id="11" w:name="_Ref189809556"/>
    </w:p>
    <w:p w14:paraId="49C52D3F" w14:textId="77777777" w:rsidR="002B0A7B" w:rsidRPr="005E0F10" w:rsidRDefault="002B0A7B" w:rsidP="002B0A7B">
      <w:pPr>
        <w:pStyle w:val="Reference"/>
        <w:rPr>
          <w:sz w:val="20"/>
          <w:szCs w:val="20"/>
        </w:rPr>
      </w:pPr>
      <w:r w:rsidRPr="005E0F10">
        <w:rPr>
          <w:sz w:val="20"/>
          <w:szCs w:val="20"/>
        </w:rPr>
        <w:t>RP-190710, Study on solutions for NR to support non-terrestrial networks (NTN), Thales, RAN #83, Shenzhen, China, March 2019</w:t>
      </w:r>
    </w:p>
    <w:p w14:paraId="776F3443" w14:textId="1B7A9C79" w:rsidR="005F3025" w:rsidRPr="00DB3592" w:rsidRDefault="00715EB1" w:rsidP="000F36A4">
      <w:pPr>
        <w:pStyle w:val="Reference"/>
        <w:rPr>
          <w:sz w:val="20"/>
          <w:szCs w:val="20"/>
        </w:rPr>
      </w:pPr>
      <w:r w:rsidRPr="00DB3592">
        <w:rPr>
          <w:sz w:val="20"/>
          <w:szCs w:val="20"/>
        </w:rPr>
        <w:t>3GPP T</w:t>
      </w:r>
      <w:r w:rsidR="000F36A4" w:rsidRPr="00DB3592">
        <w:rPr>
          <w:sz w:val="20"/>
          <w:szCs w:val="20"/>
        </w:rPr>
        <w:t>R</w:t>
      </w:r>
      <w:r w:rsidRPr="00DB3592">
        <w:rPr>
          <w:sz w:val="20"/>
          <w:szCs w:val="20"/>
        </w:rPr>
        <w:t xml:space="preserve"> 38.</w:t>
      </w:r>
      <w:r w:rsidR="000F36A4" w:rsidRPr="00DB3592">
        <w:rPr>
          <w:sz w:val="20"/>
          <w:szCs w:val="20"/>
        </w:rPr>
        <w:t>811</w:t>
      </w:r>
      <w:bookmarkEnd w:id="8"/>
      <w:bookmarkEnd w:id="9"/>
      <w:bookmarkEnd w:id="10"/>
      <w:bookmarkEnd w:id="11"/>
      <w:r w:rsidR="000F36A4" w:rsidRPr="00DB3592">
        <w:rPr>
          <w:sz w:val="20"/>
          <w:szCs w:val="20"/>
        </w:rPr>
        <w:t>, Study on New Radio (NR) to support non-terrestrial networks, V15.0.0.</w:t>
      </w:r>
    </w:p>
    <w:sectPr w:rsidR="005F3025" w:rsidRPr="00DB3592"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E64C4" w14:textId="77777777" w:rsidR="00241012" w:rsidRDefault="00241012">
      <w:r>
        <w:separator/>
      </w:r>
    </w:p>
  </w:endnote>
  <w:endnote w:type="continuationSeparator" w:id="0">
    <w:p w14:paraId="0DB6FA3E" w14:textId="77777777" w:rsidR="00241012" w:rsidRDefault="0024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144E5" w14:textId="77777777" w:rsidR="00241012" w:rsidRDefault="00241012">
      <w:r>
        <w:separator/>
      </w:r>
    </w:p>
  </w:footnote>
  <w:footnote w:type="continuationSeparator" w:id="0">
    <w:p w14:paraId="0D94FD2E" w14:textId="77777777" w:rsidR="00241012" w:rsidRDefault="0024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D5F37"/>
    <w:multiLevelType w:val="multilevel"/>
    <w:tmpl w:val="370404A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60341B5"/>
    <w:multiLevelType w:val="hybridMultilevel"/>
    <w:tmpl w:val="F3F6C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C605C"/>
    <w:multiLevelType w:val="hybridMultilevel"/>
    <w:tmpl w:val="F44E1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332551"/>
    <w:multiLevelType w:val="hybridMultilevel"/>
    <w:tmpl w:val="81D06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B238F1"/>
    <w:multiLevelType w:val="multilevel"/>
    <w:tmpl w:val="810895C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6"/>
  </w:num>
  <w:num w:numId="6">
    <w:abstractNumId w:val="27"/>
  </w:num>
  <w:num w:numId="7">
    <w:abstractNumId w:val="39"/>
  </w:num>
  <w:num w:numId="8">
    <w:abstractNumId w:val="17"/>
  </w:num>
  <w:num w:numId="9">
    <w:abstractNumId w:val="13"/>
  </w:num>
  <w:num w:numId="10">
    <w:abstractNumId w:val="2"/>
  </w:num>
  <w:num w:numId="11">
    <w:abstractNumId w:val="1"/>
  </w:num>
  <w:num w:numId="12">
    <w:abstractNumId w:val="0"/>
  </w:num>
  <w:num w:numId="13">
    <w:abstractNumId w:val="34"/>
  </w:num>
  <w:num w:numId="14">
    <w:abstractNumId w:val="35"/>
  </w:num>
  <w:num w:numId="15">
    <w:abstractNumId w:val="25"/>
  </w:num>
  <w:num w:numId="16">
    <w:abstractNumId w:val="41"/>
  </w:num>
  <w:num w:numId="17">
    <w:abstractNumId w:val="9"/>
  </w:num>
  <w:num w:numId="18">
    <w:abstractNumId w:val="10"/>
  </w:num>
  <w:num w:numId="19">
    <w:abstractNumId w:val="5"/>
  </w:num>
  <w:num w:numId="20">
    <w:abstractNumId w:val="46"/>
  </w:num>
  <w:num w:numId="21">
    <w:abstractNumId w:val="18"/>
  </w:num>
  <w:num w:numId="22">
    <w:abstractNumId w:val="44"/>
  </w:num>
  <w:num w:numId="23">
    <w:abstractNumId w:val="15"/>
  </w:num>
  <w:num w:numId="24">
    <w:abstractNumId w:val="15"/>
  </w:num>
  <w:num w:numId="25">
    <w:abstractNumId w:val="33"/>
  </w:num>
  <w:num w:numId="26">
    <w:abstractNumId w:val="28"/>
  </w:num>
  <w:num w:numId="27">
    <w:abstractNumId w:val="31"/>
  </w:num>
  <w:num w:numId="28">
    <w:abstractNumId w:val="19"/>
  </w:num>
  <w:num w:numId="29">
    <w:abstractNumId w:val="11"/>
  </w:num>
  <w:num w:numId="30">
    <w:abstractNumId w:val="6"/>
  </w:num>
  <w:num w:numId="31">
    <w:abstractNumId w:val="45"/>
  </w:num>
  <w:num w:numId="32">
    <w:abstractNumId w:val="20"/>
  </w:num>
  <w:num w:numId="33">
    <w:abstractNumId w:val="47"/>
  </w:num>
  <w:num w:numId="34">
    <w:abstractNumId w:val="43"/>
  </w:num>
  <w:num w:numId="35">
    <w:abstractNumId w:val="7"/>
  </w:num>
  <w:num w:numId="36">
    <w:abstractNumId w:val="29"/>
  </w:num>
  <w:num w:numId="37">
    <w:abstractNumId w:val="26"/>
  </w:num>
  <w:num w:numId="38">
    <w:abstractNumId w:val="32"/>
  </w:num>
  <w:num w:numId="39">
    <w:abstractNumId w:val="42"/>
  </w:num>
  <w:num w:numId="40">
    <w:abstractNumId w:val="38"/>
  </w:num>
  <w:num w:numId="41">
    <w:abstractNumId w:val="12"/>
  </w:num>
  <w:num w:numId="42">
    <w:abstractNumId w:val="37"/>
  </w:num>
  <w:num w:numId="43">
    <w:abstractNumId w:val="8"/>
  </w:num>
  <w:num w:numId="44">
    <w:abstractNumId w:val="14"/>
  </w:num>
  <w:num w:numId="45">
    <w:abstractNumId w:val="23"/>
  </w:num>
  <w:num w:numId="46">
    <w:abstractNumId w:val="40"/>
  </w:num>
  <w:num w:numId="47">
    <w:abstractNumId w:val="36"/>
  </w:num>
  <w:num w:numId="48">
    <w:abstractNumId w:val="3"/>
  </w:num>
  <w:num w:numId="4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16E7"/>
    <w:rsid w:val="0006487E"/>
    <w:rsid w:val="0006535A"/>
    <w:rsid w:val="00065E1A"/>
    <w:rsid w:val="0007155D"/>
    <w:rsid w:val="00077468"/>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2719"/>
    <w:rsid w:val="000B3A8F"/>
    <w:rsid w:val="000B4AB9"/>
    <w:rsid w:val="000B58C3"/>
    <w:rsid w:val="000B61E9"/>
    <w:rsid w:val="000B71EB"/>
    <w:rsid w:val="000C165A"/>
    <w:rsid w:val="000C2E19"/>
    <w:rsid w:val="000C4F3E"/>
    <w:rsid w:val="000C5BC4"/>
    <w:rsid w:val="000C7E89"/>
    <w:rsid w:val="000D0D07"/>
    <w:rsid w:val="000D3D4C"/>
    <w:rsid w:val="000D4797"/>
    <w:rsid w:val="000D7F1F"/>
    <w:rsid w:val="000E0527"/>
    <w:rsid w:val="000E1E92"/>
    <w:rsid w:val="000E5128"/>
    <w:rsid w:val="000F06D6"/>
    <w:rsid w:val="000F0EB1"/>
    <w:rsid w:val="000F1106"/>
    <w:rsid w:val="000F30DE"/>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85E4A"/>
    <w:rsid w:val="00190AC1"/>
    <w:rsid w:val="0019341A"/>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3FB6"/>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012"/>
    <w:rsid w:val="00241559"/>
    <w:rsid w:val="002435B3"/>
    <w:rsid w:val="002458EB"/>
    <w:rsid w:val="002500C8"/>
    <w:rsid w:val="00251882"/>
    <w:rsid w:val="00257543"/>
    <w:rsid w:val="002617E7"/>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6227"/>
    <w:rsid w:val="00296F44"/>
    <w:rsid w:val="0029777D"/>
    <w:rsid w:val="002A055E"/>
    <w:rsid w:val="002A1D4E"/>
    <w:rsid w:val="002A2869"/>
    <w:rsid w:val="002B0A7B"/>
    <w:rsid w:val="002B17BB"/>
    <w:rsid w:val="002B24D6"/>
    <w:rsid w:val="002B5D42"/>
    <w:rsid w:val="002B626A"/>
    <w:rsid w:val="002C4191"/>
    <w:rsid w:val="002C41E6"/>
    <w:rsid w:val="002C4E9F"/>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2F0"/>
    <w:rsid w:val="00334579"/>
    <w:rsid w:val="00335858"/>
    <w:rsid w:val="00336BDA"/>
    <w:rsid w:val="00342BD7"/>
    <w:rsid w:val="00346DB5"/>
    <w:rsid w:val="003477B1"/>
    <w:rsid w:val="00350747"/>
    <w:rsid w:val="0035271C"/>
    <w:rsid w:val="00357380"/>
    <w:rsid w:val="003602D9"/>
    <w:rsid w:val="003604CE"/>
    <w:rsid w:val="00370E47"/>
    <w:rsid w:val="003742AC"/>
    <w:rsid w:val="0037443F"/>
    <w:rsid w:val="00374ABA"/>
    <w:rsid w:val="00377CE1"/>
    <w:rsid w:val="00385BF0"/>
    <w:rsid w:val="0039094C"/>
    <w:rsid w:val="00392526"/>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0D7"/>
    <w:rsid w:val="003C2702"/>
    <w:rsid w:val="003C7806"/>
    <w:rsid w:val="003D109F"/>
    <w:rsid w:val="003D2478"/>
    <w:rsid w:val="003D3C45"/>
    <w:rsid w:val="003D4C48"/>
    <w:rsid w:val="003D5B1F"/>
    <w:rsid w:val="003D737A"/>
    <w:rsid w:val="003E15FA"/>
    <w:rsid w:val="003E55E4"/>
    <w:rsid w:val="003E5849"/>
    <w:rsid w:val="003E6476"/>
    <w:rsid w:val="003E67E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9D9"/>
    <w:rsid w:val="00422AA4"/>
    <w:rsid w:val="004242F4"/>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A7B6B"/>
    <w:rsid w:val="004B6F6A"/>
    <w:rsid w:val="004B79D1"/>
    <w:rsid w:val="004B7C0C"/>
    <w:rsid w:val="004C3898"/>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BAB"/>
    <w:rsid w:val="005219CF"/>
    <w:rsid w:val="00525EBA"/>
    <w:rsid w:val="0053334B"/>
    <w:rsid w:val="00534B59"/>
    <w:rsid w:val="005360F9"/>
    <w:rsid w:val="00536759"/>
    <w:rsid w:val="00536E0C"/>
    <w:rsid w:val="00537C62"/>
    <w:rsid w:val="0054452A"/>
    <w:rsid w:val="00546970"/>
    <w:rsid w:val="00554E19"/>
    <w:rsid w:val="005565C7"/>
    <w:rsid w:val="0056121F"/>
    <w:rsid w:val="00565FFB"/>
    <w:rsid w:val="00572505"/>
    <w:rsid w:val="00582809"/>
    <w:rsid w:val="0058798C"/>
    <w:rsid w:val="005900FA"/>
    <w:rsid w:val="00590E76"/>
    <w:rsid w:val="00592655"/>
    <w:rsid w:val="005935A4"/>
    <w:rsid w:val="005948C2"/>
    <w:rsid w:val="00595DCA"/>
    <w:rsid w:val="0059779B"/>
    <w:rsid w:val="005A209A"/>
    <w:rsid w:val="005A662D"/>
    <w:rsid w:val="005B1409"/>
    <w:rsid w:val="005B35D7"/>
    <w:rsid w:val="005B392A"/>
    <w:rsid w:val="005B3AA3"/>
    <w:rsid w:val="005B6F09"/>
    <w:rsid w:val="005B6F83"/>
    <w:rsid w:val="005C0275"/>
    <w:rsid w:val="005C4F3E"/>
    <w:rsid w:val="005C74FB"/>
    <w:rsid w:val="005D1602"/>
    <w:rsid w:val="005D4FDF"/>
    <w:rsid w:val="005E385F"/>
    <w:rsid w:val="005E5632"/>
    <w:rsid w:val="005E5B81"/>
    <w:rsid w:val="005F1345"/>
    <w:rsid w:val="005F2CB1"/>
    <w:rsid w:val="005F3025"/>
    <w:rsid w:val="005F618C"/>
    <w:rsid w:val="005F70BD"/>
    <w:rsid w:val="0060283C"/>
    <w:rsid w:val="00604F14"/>
    <w:rsid w:val="00611B83"/>
    <w:rsid w:val="00613257"/>
    <w:rsid w:val="00614896"/>
    <w:rsid w:val="00614E33"/>
    <w:rsid w:val="00620A71"/>
    <w:rsid w:val="00620D80"/>
    <w:rsid w:val="006234A6"/>
    <w:rsid w:val="00630001"/>
    <w:rsid w:val="006311B3"/>
    <w:rsid w:val="0063284C"/>
    <w:rsid w:val="00633408"/>
    <w:rsid w:val="00636398"/>
    <w:rsid w:val="006368D3"/>
    <w:rsid w:val="006377EC"/>
    <w:rsid w:val="0064151F"/>
    <w:rsid w:val="00641533"/>
    <w:rsid w:val="0064208D"/>
    <w:rsid w:val="00643475"/>
    <w:rsid w:val="0064396A"/>
    <w:rsid w:val="0064624E"/>
    <w:rsid w:val="006500B6"/>
    <w:rsid w:val="00650AB9"/>
    <w:rsid w:val="00652183"/>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D9A"/>
    <w:rsid w:val="006A46FB"/>
    <w:rsid w:val="006A5A3D"/>
    <w:rsid w:val="006A5E28"/>
    <w:rsid w:val="006A697B"/>
    <w:rsid w:val="006A7AFF"/>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D4A"/>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4CC2"/>
    <w:rsid w:val="007362A6"/>
    <w:rsid w:val="00736D7D"/>
    <w:rsid w:val="00740E58"/>
    <w:rsid w:val="007435F5"/>
    <w:rsid w:val="007445A0"/>
    <w:rsid w:val="0074524B"/>
    <w:rsid w:val="00747D8B"/>
    <w:rsid w:val="00751228"/>
    <w:rsid w:val="00752E43"/>
    <w:rsid w:val="007571E1"/>
    <w:rsid w:val="00757D90"/>
    <w:rsid w:val="007604B2"/>
    <w:rsid w:val="007610F5"/>
    <w:rsid w:val="0076143E"/>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16"/>
    <w:rsid w:val="007D04E5"/>
    <w:rsid w:val="007D3DDC"/>
    <w:rsid w:val="007D5901"/>
    <w:rsid w:val="007D7526"/>
    <w:rsid w:val="007D754C"/>
    <w:rsid w:val="007E1C66"/>
    <w:rsid w:val="007E4610"/>
    <w:rsid w:val="007E4715"/>
    <w:rsid w:val="007E505B"/>
    <w:rsid w:val="007E7091"/>
    <w:rsid w:val="007F6ADA"/>
    <w:rsid w:val="00803FAE"/>
    <w:rsid w:val="00805D71"/>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1CFA"/>
    <w:rsid w:val="00852E3F"/>
    <w:rsid w:val="008561EE"/>
    <w:rsid w:val="00856911"/>
    <w:rsid w:val="008677FD"/>
    <w:rsid w:val="008706D4"/>
    <w:rsid w:val="00870F8A"/>
    <w:rsid w:val="008719A4"/>
    <w:rsid w:val="00871D23"/>
    <w:rsid w:val="008726B1"/>
    <w:rsid w:val="00874312"/>
    <w:rsid w:val="0087437C"/>
    <w:rsid w:val="00875CD7"/>
    <w:rsid w:val="00876B4D"/>
    <w:rsid w:val="00877F18"/>
    <w:rsid w:val="00883350"/>
    <w:rsid w:val="00886E66"/>
    <w:rsid w:val="008941E3"/>
    <w:rsid w:val="00894A88"/>
    <w:rsid w:val="00895386"/>
    <w:rsid w:val="008977C4"/>
    <w:rsid w:val="008A21FF"/>
    <w:rsid w:val="008A2CE2"/>
    <w:rsid w:val="008A30AC"/>
    <w:rsid w:val="008A44B8"/>
    <w:rsid w:val="008A51A8"/>
    <w:rsid w:val="008A54C7"/>
    <w:rsid w:val="008A77D8"/>
    <w:rsid w:val="008B0483"/>
    <w:rsid w:val="008B120C"/>
    <w:rsid w:val="008B3EC7"/>
    <w:rsid w:val="008B51A0"/>
    <w:rsid w:val="008B592A"/>
    <w:rsid w:val="008B6BD0"/>
    <w:rsid w:val="008B7B5C"/>
    <w:rsid w:val="008C0C99"/>
    <w:rsid w:val="008C2017"/>
    <w:rsid w:val="008C2250"/>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4DFD"/>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1076"/>
    <w:rsid w:val="00953920"/>
    <w:rsid w:val="00953D47"/>
    <w:rsid w:val="00955BFF"/>
    <w:rsid w:val="0095681E"/>
    <w:rsid w:val="009572D4"/>
    <w:rsid w:val="00957C66"/>
    <w:rsid w:val="00961921"/>
    <w:rsid w:val="0096430A"/>
    <w:rsid w:val="0096554B"/>
    <w:rsid w:val="0096584A"/>
    <w:rsid w:val="00971F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6A5"/>
    <w:rsid w:val="009F08F3"/>
    <w:rsid w:val="009F1C18"/>
    <w:rsid w:val="009F344F"/>
    <w:rsid w:val="00A0104A"/>
    <w:rsid w:val="00A031D8"/>
    <w:rsid w:val="00A048A8"/>
    <w:rsid w:val="00A04F49"/>
    <w:rsid w:val="00A106D1"/>
    <w:rsid w:val="00A12BFB"/>
    <w:rsid w:val="00A13E54"/>
    <w:rsid w:val="00A1400F"/>
    <w:rsid w:val="00A17E88"/>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1F05"/>
    <w:rsid w:val="00A45B74"/>
    <w:rsid w:val="00A529F5"/>
    <w:rsid w:val="00A52E1D"/>
    <w:rsid w:val="00A54296"/>
    <w:rsid w:val="00A61499"/>
    <w:rsid w:val="00A62A77"/>
    <w:rsid w:val="00A62C0F"/>
    <w:rsid w:val="00A63483"/>
    <w:rsid w:val="00A657D7"/>
    <w:rsid w:val="00A660AC"/>
    <w:rsid w:val="00A67E6C"/>
    <w:rsid w:val="00A71B99"/>
    <w:rsid w:val="00A739D0"/>
    <w:rsid w:val="00A761D4"/>
    <w:rsid w:val="00A77EC4"/>
    <w:rsid w:val="00A90AAE"/>
    <w:rsid w:val="00A92879"/>
    <w:rsid w:val="00A93B5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39D8"/>
    <w:rsid w:val="00B05084"/>
    <w:rsid w:val="00B05186"/>
    <w:rsid w:val="00B05B1D"/>
    <w:rsid w:val="00B14120"/>
    <w:rsid w:val="00B157F9"/>
    <w:rsid w:val="00B17803"/>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02D6"/>
    <w:rsid w:val="00B664C7"/>
    <w:rsid w:val="00B739F6"/>
    <w:rsid w:val="00B74756"/>
    <w:rsid w:val="00B81A6C"/>
    <w:rsid w:val="00B85DE5"/>
    <w:rsid w:val="00B90F73"/>
    <w:rsid w:val="00B93B59"/>
    <w:rsid w:val="00B9406A"/>
    <w:rsid w:val="00BA2280"/>
    <w:rsid w:val="00BA2A08"/>
    <w:rsid w:val="00BA434A"/>
    <w:rsid w:val="00BA4778"/>
    <w:rsid w:val="00BA56D2"/>
    <w:rsid w:val="00BA76E0"/>
    <w:rsid w:val="00BB2A25"/>
    <w:rsid w:val="00BB51E9"/>
    <w:rsid w:val="00BB756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1487"/>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3EA0"/>
    <w:rsid w:val="00CC7B45"/>
    <w:rsid w:val="00CD0448"/>
    <w:rsid w:val="00CD1188"/>
    <w:rsid w:val="00CD2ED1"/>
    <w:rsid w:val="00CD337B"/>
    <w:rsid w:val="00CE0424"/>
    <w:rsid w:val="00CE0BF7"/>
    <w:rsid w:val="00CE7561"/>
    <w:rsid w:val="00CE7EE4"/>
    <w:rsid w:val="00CF1354"/>
    <w:rsid w:val="00CF3B1F"/>
    <w:rsid w:val="00CF3BF6"/>
    <w:rsid w:val="00CF3F81"/>
    <w:rsid w:val="00CF625B"/>
    <w:rsid w:val="00CF687E"/>
    <w:rsid w:val="00D0256F"/>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67D33"/>
    <w:rsid w:val="00D708B0"/>
    <w:rsid w:val="00D7121A"/>
    <w:rsid w:val="00D7281A"/>
    <w:rsid w:val="00D77B1D"/>
    <w:rsid w:val="00D77EED"/>
    <w:rsid w:val="00D8021F"/>
    <w:rsid w:val="00D80383"/>
    <w:rsid w:val="00D823C6"/>
    <w:rsid w:val="00D8327F"/>
    <w:rsid w:val="00D86CA3"/>
    <w:rsid w:val="00D871CE"/>
    <w:rsid w:val="00D9196D"/>
    <w:rsid w:val="00D92982"/>
    <w:rsid w:val="00DA305E"/>
    <w:rsid w:val="00DA3DC9"/>
    <w:rsid w:val="00DA5417"/>
    <w:rsid w:val="00DA56E8"/>
    <w:rsid w:val="00DA76A8"/>
    <w:rsid w:val="00DB0A9F"/>
    <w:rsid w:val="00DB3592"/>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1DE"/>
    <w:rsid w:val="00E8234C"/>
    <w:rsid w:val="00E83AA9"/>
    <w:rsid w:val="00E85654"/>
    <w:rsid w:val="00E85928"/>
    <w:rsid w:val="00E85CFB"/>
    <w:rsid w:val="00E87822"/>
    <w:rsid w:val="00E90395"/>
    <w:rsid w:val="00E90E49"/>
    <w:rsid w:val="00E917F9"/>
    <w:rsid w:val="00E9291C"/>
    <w:rsid w:val="00E93FC6"/>
    <w:rsid w:val="00E93FFE"/>
    <w:rsid w:val="00E94F8A"/>
    <w:rsid w:val="00EA7A41"/>
    <w:rsid w:val="00EB077B"/>
    <w:rsid w:val="00EB4EA2"/>
    <w:rsid w:val="00EB6D87"/>
    <w:rsid w:val="00EC24D5"/>
    <w:rsid w:val="00EC27C6"/>
    <w:rsid w:val="00EC4207"/>
    <w:rsid w:val="00EC5653"/>
    <w:rsid w:val="00EC71CE"/>
    <w:rsid w:val="00ED1006"/>
    <w:rsid w:val="00ED77EB"/>
    <w:rsid w:val="00ED7F88"/>
    <w:rsid w:val="00EE1DA8"/>
    <w:rsid w:val="00EF18FE"/>
    <w:rsid w:val="00EF4F6F"/>
    <w:rsid w:val="00EF5787"/>
    <w:rsid w:val="00EF60D0"/>
    <w:rsid w:val="00F00F62"/>
    <w:rsid w:val="00F01DB3"/>
    <w:rsid w:val="00F03DAF"/>
    <w:rsid w:val="00F05216"/>
    <w:rsid w:val="00F0528D"/>
    <w:rsid w:val="00F06C67"/>
    <w:rsid w:val="00F06DFD"/>
    <w:rsid w:val="00F071D1"/>
    <w:rsid w:val="00F07533"/>
    <w:rsid w:val="00F10629"/>
    <w:rsid w:val="00F15FA5"/>
    <w:rsid w:val="00F209B7"/>
    <w:rsid w:val="00F22355"/>
    <w:rsid w:val="00F2376F"/>
    <w:rsid w:val="00F243D8"/>
    <w:rsid w:val="00F30828"/>
    <w:rsid w:val="00F313D6"/>
    <w:rsid w:val="00F40F0C"/>
    <w:rsid w:val="00F416C3"/>
    <w:rsid w:val="00F4681E"/>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1E9D"/>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BF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12B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2BF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5D739-A41F-4DD2-AE74-E4395EFA6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1391</Words>
  <Characters>7935</Characters>
  <Application>Microsoft Office Word</Application>
  <DocSecurity>0</DocSecurity>
  <Lines>66</Lines>
  <Paragraphs>18</Paragraphs>
  <ScaleCrop>false</ScaleCrop>
  <Company/>
  <LinksUpToDate>false</LinksUpToDate>
  <CharactersWithSpaces>9308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2019-03-30T03:02:00Z</dcterms:created>
  <dcterms:modified xsi:type="dcterms:W3CDTF">2019-03-30T03:02:00Z</dcterms:modified>
  <cp:category/>
</cp:coreProperties>
</file>